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081D" w14:textId="77777777" w:rsidR="003E05A5" w:rsidRPr="003B4B38" w:rsidRDefault="003E05A5" w:rsidP="003E05A5"/>
    <w:p w14:paraId="4D08B063" w14:textId="61639B28" w:rsidR="004163BC" w:rsidRPr="003B4B38" w:rsidRDefault="004163BC"/>
    <w:p w14:paraId="01359C82" w14:textId="77777777" w:rsidR="009B1867" w:rsidRPr="009B1867" w:rsidRDefault="004163BC" w:rsidP="004163BC">
      <w:pPr>
        <w:jc w:val="center"/>
        <w:rPr>
          <w:bCs/>
        </w:rPr>
      </w:pPr>
      <w:r w:rsidRPr="009B1867">
        <w:rPr>
          <w:b/>
          <w:bCs/>
        </w:rPr>
        <w:t>Calculate how long you can maintain your lifestyle if you were to lose an income</w:t>
      </w:r>
      <w:r w:rsidR="009B1867" w:rsidRPr="009B1867">
        <w:rPr>
          <w:bCs/>
        </w:rPr>
        <w:t xml:space="preserve"> </w:t>
      </w:r>
    </w:p>
    <w:p w14:paraId="2446DE0E" w14:textId="5E1FFFF1" w:rsidR="004163BC" w:rsidRPr="003B4B38" w:rsidRDefault="004163BC" w:rsidP="004163BC"/>
    <w:p w14:paraId="0CAAB3CB" w14:textId="54D4CBC8" w:rsidR="004163BC" w:rsidRPr="003B4B38" w:rsidRDefault="00A20302" w:rsidP="004163BC">
      <w:r w:rsidRPr="003B4B38">
        <w:t xml:space="preserve">Dear, </w:t>
      </w:r>
    </w:p>
    <w:p w14:paraId="679DD252" w14:textId="77777777" w:rsidR="004163BC" w:rsidRPr="003B4B38" w:rsidRDefault="004163BC" w:rsidP="004163BC"/>
    <w:p w14:paraId="4DC17F00" w14:textId="77777777" w:rsidR="004163BC" w:rsidRPr="003B4B38" w:rsidRDefault="004163BC" w:rsidP="004163BC">
      <w:pPr>
        <w:rPr>
          <w:rFonts w:cstheme="minorHAnsi"/>
        </w:rPr>
      </w:pPr>
      <w:r w:rsidRPr="003B4B38">
        <w:rPr>
          <w:rFonts w:cstheme="minorHAnsi"/>
        </w:rPr>
        <w:t>If you were to lose your income today, how long do you think you could last for?</w:t>
      </w:r>
    </w:p>
    <w:p w14:paraId="1331FA85" w14:textId="77777777" w:rsidR="004163BC" w:rsidRPr="003B4B38" w:rsidRDefault="004163BC" w:rsidP="004163BC">
      <w:pPr>
        <w:rPr>
          <w:rFonts w:cstheme="minorHAnsi"/>
        </w:rPr>
      </w:pPr>
    </w:p>
    <w:p w14:paraId="7F6479C8" w14:textId="512036B7" w:rsidR="004163BC" w:rsidRPr="00FB0391" w:rsidRDefault="004163BC" w:rsidP="004163BC">
      <w:pPr>
        <w:rPr>
          <w:rFonts w:cstheme="minorHAnsi"/>
          <w:color w:val="FF0000"/>
        </w:rPr>
      </w:pPr>
      <w:r w:rsidRPr="003B4B38">
        <w:rPr>
          <w:rFonts w:cstheme="minorHAnsi"/>
        </w:rPr>
        <w:t xml:space="preserve">Legal and General (L&amp;G) publish their </w:t>
      </w:r>
      <w:hyperlink r:id="rId5" w:history="1">
        <w:r w:rsidRPr="003B4B38">
          <w:rPr>
            <w:rStyle w:val="Hyperlink"/>
            <w:rFonts w:cstheme="minorHAnsi"/>
          </w:rPr>
          <w:t>Deadline to Breadline</w:t>
        </w:r>
      </w:hyperlink>
      <w:r w:rsidRPr="003B4B38">
        <w:rPr>
          <w:rFonts w:cstheme="minorHAnsi"/>
        </w:rPr>
        <w:t xml:space="preserve"> research each year, the latest report revealed that the average household is just 24 days from the breadline - this is a lot less than the 90 days that many believe they can be financially stable for should th</w:t>
      </w:r>
      <w:r w:rsidR="00FB0391">
        <w:rPr>
          <w:rFonts w:cstheme="minorHAnsi"/>
        </w:rPr>
        <w:t>ey lose their household income.</w:t>
      </w:r>
      <w:r w:rsidR="00FB0391">
        <w:rPr>
          <w:rFonts w:cstheme="minorHAnsi"/>
          <w:color w:val="FF0000"/>
        </w:rPr>
        <w:t xml:space="preserve"> </w:t>
      </w:r>
    </w:p>
    <w:p w14:paraId="4CA0FA12" w14:textId="77777777" w:rsidR="004163BC" w:rsidRPr="003B4B38" w:rsidRDefault="004163BC" w:rsidP="004163BC">
      <w:pPr>
        <w:rPr>
          <w:rFonts w:cstheme="minorHAnsi"/>
        </w:rPr>
      </w:pPr>
    </w:p>
    <w:p w14:paraId="56A66DAA" w14:textId="6D81519F" w:rsidR="004163BC" w:rsidRPr="00FB0391" w:rsidRDefault="004163BC" w:rsidP="004163BC">
      <w:pPr>
        <w:rPr>
          <w:rFonts w:cstheme="minorHAnsi"/>
          <w:color w:val="FF0000"/>
        </w:rPr>
      </w:pPr>
      <w:r w:rsidRPr="003B4B38">
        <w:rPr>
          <w:rFonts w:cstheme="minorHAnsi"/>
        </w:rPr>
        <w:t>Furthermore, your savings may not last quite as long as you’d expect, with the average household needing savings of over £30,000 to be financially secure and co</w:t>
      </w:r>
      <w:r w:rsidR="00FB0391">
        <w:rPr>
          <w:rFonts w:cstheme="minorHAnsi"/>
        </w:rPr>
        <w:t xml:space="preserve">ver their outgoings for a year. </w:t>
      </w:r>
    </w:p>
    <w:p w14:paraId="49C9E687" w14:textId="77777777" w:rsidR="004163BC" w:rsidRPr="003B4B38" w:rsidRDefault="004163BC" w:rsidP="004163BC">
      <w:pPr>
        <w:rPr>
          <w:rFonts w:cstheme="minorHAnsi"/>
        </w:rPr>
      </w:pPr>
    </w:p>
    <w:p w14:paraId="619DA5BA" w14:textId="77777777" w:rsidR="004163BC" w:rsidRPr="003B4B38" w:rsidRDefault="004163BC" w:rsidP="004163BC">
      <w:pPr>
        <w:rPr>
          <w:rFonts w:cstheme="minorHAnsi"/>
        </w:rPr>
      </w:pPr>
      <w:r w:rsidRPr="003B4B38">
        <w:rPr>
          <w:rFonts w:cstheme="minorHAnsi"/>
        </w:rPr>
        <w:t xml:space="preserve">How many days do you think you could last? There’s some great tools out there to help you find out – try the </w:t>
      </w:r>
      <w:hyperlink r:id="rId6" w:history="1">
        <w:r w:rsidRPr="003B4B38">
          <w:rPr>
            <w:rStyle w:val="Hyperlink"/>
            <w:rFonts w:cstheme="minorHAnsi"/>
          </w:rPr>
          <w:t>L&amp;G Deadline to Breadline Calculator</w:t>
        </w:r>
      </w:hyperlink>
      <w:r w:rsidRPr="003B4B38">
        <w:rPr>
          <w:rFonts w:cstheme="minorHAnsi"/>
        </w:rPr>
        <w:t xml:space="preserve"> to see how long you can maintain your current lifestyle should the worst happen. </w:t>
      </w:r>
    </w:p>
    <w:p w14:paraId="77EBC4DB" w14:textId="77777777" w:rsidR="004163BC" w:rsidRPr="003B4B38" w:rsidRDefault="004163BC" w:rsidP="004163BC">
      <w:pPr>
        <w:rPr>
          <w:rFonts w:cstheme="minorHAnsi"/>
        </w:rPr>
      </w:pPr>
    </w:p>
    <w:p w14:paraId="2AEC022A" w14:textId="77777777" w:rsidR="004163BC" w:rsidRPr="003B4B38" w:rsidRDefault="004163BC" w:rsidP="004163BC">
      <w:pPr>
        <w:rPr>
          <w:rFonts w:cstheme="minorHAnsi"/>
          <w:b/>
          <w:bCs/>
        </w:rPr>
      </w:pPr>
      <w:r w:rsidRPr="003B4B38">
        <w:rPr>
          <w:rFonts w:cstheme="minorHAnsi"/>
          <w:b/>
          <w:bCs/>
        </w:rPr>
        <w:t>Some interesting facts revealed:</w:t>
      </w:r>
    </w:p>
    <w:p w14:paraId="3B1BE1CB" w14:textId="77777777" w:rsidR="004163BC" w:rsidRPr="003B4B38" w:rsidRDefault="004163BC" w:rsidP="004163BC">
      <w:pPr>
        <w:rPr>
          <w:rFonts w:cstheme="minorHAnsi"/>
          <w:b/>
          <w:bCs/>
        </w:rPr>
      </w:pPr>
    </w:p>
    <w:p w14:paraId="37B20F19" w14:textId="77777777" w:rsidR="004163BC" w:rsidRPr="003B4B38" w:rsidRDefault="004163BC" w:rsidP="004163BC">
      <w:pPr>
        <w:pStyle w:val="ListParagraph"/>
        <w:numPr>
          <w:ilvl w:val="0"/>
          <w:numId w:val="2"/>
        </w:numPr>
        <w:rPr>
          <w:rFonts w:cstheme="minorHAnsi"/>
        </w:rPr>
      </w:pPr>
      <w:r w:rsidRPr="003B4B38">
        <w:rPr>
          <w:rFonts w:cstheme="minorHAnsi"/>
        </w:rPr>
        <w:t>1 in 5 UK households have no savings at all</w:t>
      </w:r>
    </w:p>
    <w:p w14:paraId="44FA1091" w14:textId="77777777" w:rsidR="004163BC" w:rsidRPr="003B4B38" w:rsidRDefault="004163BC" w:rsidP="004163BC">
      <w:pPr>
        <w:pStyle w:val="ListParagraph"/>
        <w:numPr>
          <w:ilvl w:val="0"/>
          <w:numId w:val="2"/>
        </w:numPr>
        <w:rPr>
          <w:rFonts w:cstheme="minorHAnsi"/>
        </w:rPr>
      </w:pPr>
      <w:r w:rsidRPr="003B4B38">
        <w:rPr>
          <w:rFonts w:cstheme="minorHAnsi"/>
        </w:rPr>
        <w:t>Most households surveyed would give up or cut back on food before their broadband or phone expenditure</w:t>
      </w:r>
    </w:p>
    <w:p w14:paraId="485A6663" w14:textId="77777777" w:rsidR="004163BC" w:rsidRPr="003B4B38" w:rsidRDefault="004163BC" w:rsidP="004163BC">
      <w:pPr>
        <w:pStyle w:val="ListParagraph"/>
        <w:numPr>
          <w:ilvl w:val="0"/>
          <w:numId w:val="2"/>
        </w:numPr>
        <w:rPr>
          <w:rFonts w:cstheme="minorHAnsi"/>
        </w:rPr>
      </w:pPr>
      <w:r w:rsidRPr="003B4B38">
        <w:rPr>
          <w:rFonts w:cstheme="minorHAnsi"/>
        </w:rPr>
        <w:t>It takes the average household 14 years to save their gross annual salary and 12 years to save enough to live for a year</w:t>
      </w:r>
    </w:p>
    <w:p w14:paraId="4F16CA64" w14:textId="77777777" w:rsidR="004163BC" w:rsidRPr="003B4B38" w:rsidRDefault="004163BC" w:rsidP="004163BC">
      <w:pPr>
        <w:pStyle w:val="ListParagraph"/>
        <w:numPr>
          <w:ilvl w:val="0"/>
          <w:numId w:val="2"/>
        </w:numPr>
        <w:rPr>
          <w:rFonts w:cstheme="minorHAnsi"/>
        </w:rPr>
      </w:pPr>
      <w:r w:rsidRPr="003B4B38">
        <w:rPr>
          <w:rFonts w:cstheme="minorHAnsi"/>
        </w:rPr>
        <w:t>Those aged 45-54 are most likely to have no savings at all</w:t>
      </w:r>
    </w:p>
    <w:p w14:paraId="385F43C8" w14:textId="77777777" w:rsidR="004163BC" w:rsidRPr="003B4B38" w:rsidRDefault="004163BC" w:rsidP="004163BC">
      <w:pPr>
        <w:pStyle w:val="ListParagraph"/>
        <w:numPr>
          <w:ilvl w:val="0"/>
          <w:numId w:val="2"/>
        </w:numPr>
        <w:rPr>
          <w:rFonts w:cstheme="minorHAnsi"/>
        </w:rPr>
      </w:pPr>
      <w:r w:rsidRPr="003B4B38">
        <w:rPr>
          <w:rFonts w:cstheme="minorHAnsi"/>
        </w:rPr>
        <w:t>46% rank losing their income as their top worry if becoming unable to work</w:t>
      </w:r>
    </w:p>
    <w:p w14:paraId="39B82740" w14:textId="77777777" w:rsidR="004163BC" w:rsidRPr="003B4B38" w:rsidRDefault="004163BC" w:rsidP="004163BC">
      <w:pPr>
        <w:rPr>
          <w:rFonts w:cstheme="minorHAnsi"/>
        </w:rPr>
      </w:pPr>
    </w:p>
    <w:p w14:paraId="68C682B0" w14:textId="2FB11256" w:rsidR="004163BC" w:rsidRPr="00926182" w:rsidRDefault="004163BC" w:rsidP="004163BC">
      <w:pPr>
        <w:rPr>
          <w:rFonts w:cstheme="minorHAnsi"/>
        </w:rPr>
      </w:pPr>
      <w:r w:rsidRPr="003B4B38">
        <w:rPr>
          <w:rFonts w:cstheme="minorHAnsi"/>
        </w:rPr>
        <w:t xml:space="preserve">The research also suggests that 89% of people don't see themselves as their largest financial asset. One of the biggest misconceptions is that people do not believe that their income is valuable. </w:t>
      </w:r>
      <w:r w:rsidRPr="00926182">
        <w:rPr>
          <w:rFonts w:cstheme="minorHAnsi"/>
        </w:rPr>
        <w:t xml:space="preserve">The average person earns hundreds of thousands of pounds during their working lifetime – so value yourself, </w:t>
      </w:r>
      <w:r w:rsidR="003D7B6E" w:rsidRPr="00926182">
        <w:rPr>
          <w:rFonts w:cstheme="minorHAnsi"/>
        </w:rPr>
        <w:t xml:space="preserve">your income is </w:t>
      </w:r>
      <w:r w:rsidRPr="00926182">
        <w:rPr>
          <w:rFonts w:cstheme="minorHAnsi"/>
        </w:rPr>
        <w:t>worth protecting.</w:t>
      </w:r>
    </w:p>
    <w:p w14:paraId="22907BDF" w14:textId="77777777" w:rsidR="004163BC" w:rsidRPr="00926182" w:rsidRDefault="004163BC" w:rsidP="004163BC">
      <w:pPr>
        <w:rPr>
          <w:rFonts w:cstheme="minorHAnsi"/>
        </w:rPr>
      </w:pPr>
    </w:p>
    <w:p w14:paraId="1BECDD00" w14:textId="06EE56C7" w:rsidR="004163BC" w:rsidRPr="00926182" w:rsidRDefault="004163BC" w:rsidP="004163BC">
      <w:pPr>
        <w:rPr>
          <w:rFonts w:cstheme="minorHAnsi"/>
        </w:rPr>
      </w:pPr>
      <w:r w:rsidRPr="00926182">
        <w:rPr>
          <w:rFonts w:cstheme="minorHAnsi"/>
        </w:rPr>
        <w:t xml:space="preserve">It needn’t be all doom and gloom however – there’s plenty of protection products out there that </w:t>
      </w:r>
      <w:r w:rsidR="003D7B6E" w:rsidRPr="00926182">
        <w:rPr>
          <w:rFonts w:cstheme="minorHAnsi"/>
        </w:rPr>
        <w:t>could help</w:t>
      </w:r>
      <w:r w:rsidR="00926182" w:rsidRPr="00926182">
        <w:rPr>
          <w:rFonts w:cstheme="minorHAnsi"/>
        </w:rPr>
        <w:t xml:space="preserve"> </w:t>
      </w:r>
      <w:r w:rsidRPr="00926182">
        <w:rPr>
          <w:rFonts w:cstheme="minorHAnsi"/>
        </w:rPr>
        <w:t xml:space="preserve">– for monthly </w:t>
      </w:r>
      <w:r w:rsidR="003D7B6E" w:rsidRPr="00926182">
        <w:rPr>
          <w:rFonts w:cstheme="minorHAnsi"/>
        </w:rPr>
        <w:t xml:space="preserve">premiums </w:t>
      </w:r>
      <w:r w:rsidRPr="00926182">
        <w:rPr>
          <w:rFonts w:cstheme="minorHAnsi"/>
        </w:rPr>
        <w:t>your income can be protected to give you the peace of mind you need.</w:t>
      </w:r>
    </w:p>
    <w:p w14:paraId="68E70B4F" w14:textId="77777777" w:rsidR="004163BC" w:rsidRPr="00926182" w:rsidRDefault="004163BC" w:rsidP="004163BC">
      <w:pPr>
        <w:rPr>
          <w:rFonts w:cstheme="minorHAnsi"/>
        </w:rPr>
      </w:pPr>
    </w:p>
    <w:p w14:paraId="02A9CC64" w14:textId="38509845" w:rsidR="004163BC" w:rsidRPr="003B4B38" w:rsidRDefault="004163BC" w:rsidP="004163BC">
      <w:pPr>
        <w:rPr>
          <w:rFonts w:cstheme="minorHAnsi"/>
        </w:rPr>
      </w:pPr>
      <w:r w:rsidRPr="00926182">
        <w:rPr>
          <w:rFonts w:cstheme="minorHAnsi"/>
        </w:rPr>
        <w:t xml:space="preserve">Protection products </w:t>
      </w:r>
      <w:r w:rsidR="003D7B6E" w:rsidRPr="00926182">
        <w:rPr>
          <w:rFonts w:cstheme="minorHAnsi"/>
        </w:rPr>
        <w:t xml:space="preserve">could </w:t>
      </w:r>
      <w:r w:rsidRPr="00926182">
        <w:rPr>
          <w:rFonts w:cstheme="minorHAnsi"/>
        </w:rPr>
        <w:t xml:space="preserve">also </w:t>
      </w:r>
      <w:r w:rsidRPr="003B4B38">
        <w:rPr>
          <w:rFonts w:cstheme="minorHAnsi"/>
        </w:rPr>
        <w:t>be a lot cheaper than you might expect. The Association of British Insurers has put together an easy guide – ‘</w:t>
      </w:r>
      <w:hyperlink r:id="rId7" w:history="1">
        <w:r w:rsidRPr="003B4B38">
          <w:rPr>
            <w:rStyle w:val="Hyperlink"/>
            <w:rFonts w:cstheme="minorHAnsi"/>
          </w:rPr>
          <w:t>Percy the Protection Calculator</w:t>
        </w:r>
      </w:hyperlink>
      <w:r w:rsidRPr="003B4B38">
        <w:rPr>
          <w:rFonts w:cstheme="minorHAnsi"/>
        </w:rPr>
        <w:t xml:space="preserve">’ to help share some recommendations based on your individual circumstances. </w:t>
      </w:r>
    </w:p>
    <w:p w14:paraId="4712C104" w14:textId="77777777" w:rsidR="004163BC" w:rsidRPr="003B4B38" w:rsidRDefault="004163BC" w:rsidP="004163BC">
      <w:pPr>
        <w:rPr>
          <w:rFonts w:cstheme="minorHAnsi"/>
        </w:rPr>
      </w:pPr>
    </w:p>
    <w:p w14:paraId="5AD96658" w14:textId="020FA3F1" w:rsidR="004163BC" w:rsidRPr="003B4B38" w:rsidRDefault="004163BC" w:rsidP="004163BC">
      <w:pPr>
        <w:rPr>
          <w:rFonts w:eastAsia="Times New Roman" w:cstheme="minorHAnsi"/>
          <w:lang w:eastAsia="en-GB"/>
        </w:rPr>
      </w:pPr>
      <w:r w:rsidRPr="00926182">
        <w:rPr>
          <w:rFonts w:eastAsia="Times New Roman" w:cstheme="minorHAnsi"/>
          <w:lang w:eastAsia="en-GB"/>
        </w:rPr>
        <w:t xml:space="preserve">Chances are, you will </w:t>
      </w:r>
      <w:r w:rsidR="003D7B6E" w:rsidRPr="00926182">
        <w:rPr>
          <w:rFonts w:eastAsia="Times New Roman" w:cstheme="minorHAnsi"/>
          <w:lang w:eastAsia="en-GB"/>
        </w:rPr>
        <w:t xml:space="preserve">probably </w:t>
      </w:r>
      <w:r w:rsidRPr="00926182">
        <w:rPr>
          <w:rFonts w:eastAsia="Times New Roman" w:cstheme="minorHAnsi"/>
          <w:lang w:eastAsia="en-GB"/>
        </w:rPr>
        <w:t xml:space="preserve">need something in place to protect &amp; maintain both you and your family’s lifestyle. </w:t>
      </w:r>
      <w:r w:rsidR="00FB0391" w:rsidRPr="00926182">
        <w:rPr>
          <w:rFonts w:eastAsia="Times New Roman" w:cstheme="minorHAnsi"/>
          <w:lang w:eastAsia="en-GB"/>
        </w:rPr>
        <w:t xml:space="preserve">We can help to </w:t>
      </w:r>
      <w:r w:rsidRPr="00926182">
        <w:rPr>
          <w:rFonts w:eastAsia="Times New Roman" w:cstheme="minorHAnsi"/>
          <w:lang w:eastAsia="en-GB"/>
        </w:rPr>
        <w:t xml:space="preserve">run through your circumstances and recommend the most </w:t>
      </w:r>
      <w:r w:rsidR="00FB0391" w:rsidRPr="00926182">
        <w:rPr>
          <w:rFonts w:eastAsia="Times New Roman" w:cstheme="minorHAnsi"/>
          <w:lang w:eastAsia="en-GB"/>
        </w:rPr>
        <w:t>suitable</w:t>
      </w:r>
      <w:r w:rsidRPr="00926182">
        <w:rPr>
          <w:rFonts w:eastAsia="Times New Roman" w:cstheme="minorHAnsi"/>
          <w:lang w:eastAsia="en-GB"/>
        </w:rPr>
        <w:t xml:space="preserve"> policies for you, helping to give peace </w:t>
      </w:r>
      <w:r w:rsidRPr="003B4B38">
        <w:rPr>
          <w:rFonts w:eastAsia="Times New Roman" w:cstheme="minorHAnsi"/>
          <w:lang w:eastAsia="en-GB"/>
        </w:rPr>
        <w:t xml:space="preserve">of mind knowing that you’re protected. </w:t>
      </w:r>
    </w:p>
    <w:p w14:paraId="61381363" w14:textId="77777777" w:rsidR="004163BC" w:rsidRPr="003B4B38" w:rsidRDefault="004163BC" w:rsidP="004163BC">
      <w:pPr>
        <w:ind w:left="360"/>
        <w:rPr>
          <w:rFonts w:eastAsia="Times New Roman" w:cstheme="minorHAnsi"/>
          <w:lang w:eastAsia="en-GB"/>
        </w:rPr>
      </w:pPr>
    </w:p>
    <w:p w14:paraId="3F4C9980" w14:textId="751CEA02" w:rsidR="004163BC" w:rsidRPr="003B4B38" w:rsidRDefault="004163BC" w:rsidP="004163BC">
      <w:pPr>
        <w:rPr>
          <w:rFonts w:eastAsia="Times New Roman" w:cstheme="minorHAnsi"/>
          <w:lang w:eastAsia="en-GB"/>
        </w:rPr>
      </w:pPr>
      <w:r w:rsidRPr="003B4B38">
        <w:rPr>
          <w:rFonts w:eastAsia="Times New Roman" w:cstheme="minorHAnsi"/>
          <w:lang w:eastAsia="en-GB"/>
        </w:rPr>
        <w:t>Book an appointment to discuss protection</w:t>
      </w:r>
      <w:r w:rsidR="00926182">
        <w:rPr>
          <w:rFonts w:eastAsia="Times New Roman" w:cstheme="minorHAnsi"/>
          <w:lang w:eastAsia="en-GB"/>
        </w:rPr>
        <w:t xml:space="preserve"> today.</w:t>
      </w:r>
      <w:r w:rsidRPr="003B4B38">
        <w:rPr>
          <w:rFonts w:eastAsia="Times New Roman" w:cstheme="minorHAnsi"/>
          <w:lang w:eastAsia="en-GB"/>
        </w:rPr>
        <w:t xml:space="preserve"> </w:t>
      </w:r>
    </w:p>
    <w:p w14:paraId="35838222" w14:textId="77777777" w:rsidR="004163BC" w:rsidRPr="003B4B38" w:rsidRDefault="004163BC" w:rsidP="004163BC"/>
    <w:p w14:paraId="78F2C61C" w14:textId="77777777" w:rsidR="00A20302" w:rsidRPr="003B4B38" w:rsidRDefault="00A20302" w:rsidP="00A20302">
      <w:r w:rsidRPr="003B4B38">
        <w:t>Yours sincerely,</w:t>
      </w:r>
    </w:p>
    <w:p w14:paraId="14A70747" w14:textId="77777777" w:rsidR="00A20302" w:rsidRPr="003B4B38" w:rsidRDefault="00A20302" w:rsidP="00A20302">
      <w:pPr>
        <w:autoSpaceDE w:val="0"/>
        <w:autoSpaceDN w:val="0"/>
        <w:adjustRightInd w:val="0"/>
      </w:pPr>
    </w:p>
    <w:p w14:paraId="66CEDFDE" w14:textId="77777777" w:rsidR="00A20302" w:rsidRPr="003B4B38" w:rsidRDefault="00A20302" w:rsidP="00A20302">
      <w:pPr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3B4B38">
        <w:rPr>
          <w:rFonts w:ascii="Arial" w:eastAsia="Times New Roman" w:hAnsi="Arial" w:cs="Arial"/>
          <w:color w:val="000000"/>
          <w:lang w:eastAsia="en-GB"/>
        </w:rPr>
        <w:t> </w:t>
      </w:r>
    </w:p>
    <w:p w14:paraId="296F46E1" w14:textId="77777777" w:rsidR="00A20302" w:rsidRPr="003B4B38" w:rsidRDefault="00A20302" w:rsidP="00A20302">
      <w:pPr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3B4B38">
        <w:rPr>
          <w:rFonts w:ascii="Arial" w:eastAsia="Times New Roman" w:hAnsi="Arial" w:cs="Arial"/>
          <w:color w:val="000000"/>
          <w:lang w:eastAsia="en-GB"/>
        </w:rPr>
        <w:t>@CaseRecord.ServicingAdvisor</w:t>
      </w:r>
    </w:p>
    <w:p w14:paraId="2CFEE98D" w14:textId="77777777" w:rsidR="00A20302" w:rsidRPr="003B4B38" w:rsidRDefault="00A20302" w:rsidP="00A20302">
      <w:pPr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3B4B38">
        <w:rPr>
          <w:rFonts w:ascii="Arial" w:eastAsia="Times New Roman" w:hAnsi="Arial" w:cs="Arial"/>
          <w:color w:val="000000"/>
          <w:lang w:eastAsia="en-GB"/>
        </w:rPr>
        <w:t>  </w:t>
      </w:r>
    </w:p>
    <w:p w14:paraId="4A528875" w14:textId="77777777" w:rsidR="00A20302" w:rsidRPr="003B4B38" w:rsidRDefault="00A20302" w:rsidP="00A20302"/>
    <w:p w14:paraId="5B49E038" w14:textId="77777777" w:rsidR="00A20302" w:rsidRPr="003B4B38" w:rsidRDefault="00A20302" w:rsidP="00A20302">
      <w:r w:rsidRPr="003B4B38">
        <w:t>Availability and cost of cover is subject to criteria such as age, lifestyle, current health and medical history.</w:t>
      </w:r>
    </w:p>
    <w:p w14:paraId="6C96960F" w14:textId="77777777" w:rsidR="00A20302" w:rsidRPr="003B4B38" w:rsidRDefault="00A20302" w:rsidP="00A20302">
      <w:pPr>
        <w:rPr>
          <w:rFonts w:ascii="Calibri" w:hAnsi="Calibri" w:cs="Calibri"/>
        </w:rPr>
      </w:pPr>
    </w:p>
    <w:p w14:paraId="6807B2EF" w14:textId="77777777" w:rsidR="00A20302" w:rsidRPr="003B4B38" w:rsidRDefault="00A20302" w:rsidP="00A20302">
      <w:pPr>
        <w:autoSpaceDE w:val="0"/>
        <w:autoSpaceDN w:val="0"/>
        <w:adjustRightInd w:val="0"/>
        <w:rPr>
          <w:rFonts w:ascii="Calibri" w:eastAsia="Times New Roman" w:hAnsi="Calibri" w:cs="Calibri"/>
          <w:lang w:eastAsia="en-GB"/>
        </w:rPr>
      </w:pPr>
      <w:r w:rsidRPr="003B4B38">
        <w:rPr>
          <w:rFonts w:ascii="Calibri" w:eastAsia="Times New Roman" w:hAnsi="Calibri" w:cs="Calibri"/>
          <w:color w:val="000000"/>
          <w:lang w:eastAsia="en-GB"/>
        </w:rPr>
        <w:t>@CaseRecord.EmailDisclaimer</w:t>
      </w:r>
    </w:p>
    <w:p w14:paraId="11242E5E" w14:textId="77777777" w:rsidR="004163BC" w:rsidRPr="003B4B38" w:rsidRDefault="004163BC" w:rsidP="004163BC">
      <w:pPr>
        <w:pBdr>
          <w:bottom w:val="single" w:sz="6" w:space="1" w:color="auto"/>
        </w:pBdr>
      </w:pPr>
    </w:p>
    <w:p w14:paraId="341381B9" w14:textId="77777777" w:rsidR="004163BC" w:rsidRPr="003B4B38" w:rsidRDefault="004163BC" w:rsidP="004163BC">
      <w:pPr>
        <w:pBdr>
          <w:bottom w:val="single" w:sz="6" w:space="1" w:color="auto"/>
        </w:pBdr>
      </w:pPr>
    </w:p>
    <w:p w14:paraId="6B646B2C" w14:textId="77777777" w:rsidR="004163BC" w:rsidRPr="003B4B38" w:rsidRDefault="004163BC" w:rsidP="004163BC">
      <w:pPr>
        <w:pBdr>
          <w:bottom w:val="single" w:sz="6" w:space="1" w:color="auto"/>
        </w:pBdr>
      </w:pPr>
    </w:p>
    <w:p w14:paraId="06707671" w14:textId="77777777" w:rsidR="004163BC" w:rsidRPr="003B4B38" w:rsidRDefault="004163BC" w:rsidP="004163BC"/>
    <w:p w14:paraId="237C7F7B" w14:textId="6B439E28" w:rsidR="004163BC" w:rsidRPr="003B4B38" w:rsidRDefault="00A20302" w:rsidP="004163BC">
      <w:r w:rsidRPr="003B4B38">
        <w:t>Sources</w:t>
      </w:r>
      <w:r w:rsidR="004163BC" w:rsidRPr="003B4B38">
        <w:t xml:space="preserve"> </w:t>
      </w:r>
    </w:p>
    <w:p w14:paraId="7A334E86" w14:textId="77777777" w:rsidR="004163BC" w:rsidRPr="003B4B38" w:rsidRDefault="00926182" w:rsidP="004163BC">
      <w:hyperlink r:id="rId8" w:history="1">
        <w:r w:rsidR="004163BC" w:rsidRPr="003B4B38">
          <w:rPr>
            <w:rStyle w:val="Hyperlink"/>
          </w:rPr>
          <w:t>https://www.abi.org.uk/products-and-issues/choosing-the-right-insurance/income-protection/percy/</w:t>
        </w:r>
      </w:hyperlink>
      <w:r w:rsidR="004163BC" w:rsidRPr="003B4B38">
        <w:t xml:space="preserve"> </w:t>
      </w:r>
    </w:p>
    <w:p w14:paraId="1D585767" w14:textId="77777777" w:rsidR="004163BC" w:rsidRPr="003B4B38" w:rsidRDefault="004163BC" w:rsidP="004163BC"/>
    <w:p w14:paraId="611DD379" w14:textId="77777777" w:rsidR="004163BC" w:rsidRPr="003B4B38" w:rsidRDefault="00926182" w:rsidP="004163BC">
      <w:hyperlink r:id="rId9" w:history="1">
        <w:r w:rsidR="004163BC" w:rsidRPr="003B4B38">
          <w:rPr>
            <w:rStyle w:val="Hyperlink"/>
          </w:rPr>
          <w:t>https://www.legalandgeneral.com/adviser/protection/news-insight/deadline-to-breadline/calculator/</w:t>
        </w:r>
      </w:hyperlink>
    </w:p>
    <w:p w14:paraId="45443B87" w14:textId="7726BB3F" w:rsidR="004163BC" w:rsidRPr="00FB0391" w:rsidRDefault="004163BC" w:rsidP="00FB0391">
      <w:pPr>
        <w:rPr>
          <w:color w:val="FF0000"/>
        </w:rPr>
      </w:pPr>
    </w:p>
    <w:sectPr w:rsidR="004163BC" w:rsidRPr="00FB0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15243"/>
    <w:multiLevelType w:val="hybridMultilevel"/>
    <w:tmpl w:val="5602E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A39FD"/>
    <w:multiLevelType w:val="hybridMultilevel"/>
    <w:tmpl w:val="E1C85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5A5"/>
    <w:rsid w:val="000A6772"/>
    <w:rsid w:val="001A068F"/>
    <w:rsid w:val="00217E58"/>
    <w:rsid w:val="0032008A"/>
    <w:rsid w:val="003B4B38"/>
    <w:rsid w:val="003D7B6E"/>
    <w:rsid w:val="003E05A5"/>
    <w:rsid w:val="004163BC"/>
    <w:rsid w:val="00427BE1"/>
    <w:rsid w:val="004339EF"/>
    <w:rsid w:val="005A1A1E"/>
    <w:rsid w:val="00627941"/>
    <w:rsid w:val="00786955"/>
    <w:rsid w:val="008A53EF"/>
    <w:rsid w:val="00926182"/>
    <w:rsid w:val="00940669"/>
    <w:rsid w:val="009B1867"/>
    <w:rsid w:val="009B74BA"/>
    <w:rsid w:val="00A20302"/>
    <w:rsid w:val="00A712AA"/>
    <w:rsid w:val="00CC030C"/>
    <w:rsid w:val="00DD3945"/>
    <w:rsid w:val="00F15CA0"/>
    <w:rsid w:val="00F56048"/>
    <w:rsid w:val="00FB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9EB7"/>
  <w15:chartTrackingRefBased/>
  <w15:docId w15:val="{85CF33A7-0B96-4C76-9860-15F14DF8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A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74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i.org.uk/products-and-issues/choosing-the-right-insurance/income-protection/per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i.org.uk/products-and-issues/choosing-the-right-insurance/income-protection/per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alandgeneral.com/adviser/protection/news-insight/deadline-to-breadline/calculato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ssuu.com/hlpartnership2018/docs/deadline-to-breadline-report-2020_compressed?fr=sNTY5NDIzMTAwMj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galandgeneral.com/adviser/protection/news-insight/deadline-to-breadline/calc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2</cp:revision>
  <dcterms:created xsi:type="dcterms:W3CDTF">2022-03-16T14:05:00Z</dcterms:created>
  <dcterms:modified xsi:type="dcterms:W3CDTF">2022-03-16T14:05:00Z</dcterms:modified>
</cp:coreProperties>
</file>