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02F90" w14:textId="7EE0DE9B" w:rsidR="001C7416" w:rsidRPr="00DC3C74" w:rsidRDefault="001C7416" w:rsidP="001C7416">
      <w:pPr>
        <w:rPr>
          <w:rFonts w:cstheme="minorHAnsi"/>
          <w:b/>
          <w:bCs/>
          <w:sz w:val="32"/>
          <w:szCs w:val="32"/>
        </w:rPr>
      </w:pPr>
      <w:r w:rsidRPr="00DC3C74">
        <w:rPr>
          <w:rFonts w:cstheme="minorHAnsi"/>
          <w:b/>
          <w:bCs/>
          <w:sz w:val="32"/>
          <w:szCs w:val="32"/>
        </w:rPr>
        <w:t xml:space="preserve">How </w:t>
      </w:r>
      <w:r w:rsidR="00DC3C74">
        <w:rPr>
          <w:rFonts w:cstheme="minorHAnsi"/>
          <w:b/>
          <w:bCs/>
          <w:sz w:val="32"/>
          <w:szCs w:val="32"/>
        </w:rPr>
        <w:t>D</w:t>
      </w:r>
      <w:r w:rsidRPr="00DC3C74">
        <w:rPr>
          <w:rFonts w:cstheme="minorHAnsi"/>
          <w:b/>
          <w:bCs/>
          <w:sz w:val="32"/>
          <w:szCs w:val="32"/>
        </w:rPr>
        <w:t xml:space="preserve">o </w:t>
      </w:r>
      <w:r w:rsidR="00DC3C74">
        <w:rPr>
          <w:rFonts w:cstheme="minorHAnsi"/>
          <w:b/>
          <w:bCs/>
          <w:sz w:val="32"/>
          <w:szCs w:val="32"/>
        </w:rPr>
        <w:t>Y</w:t>
      </w:r>
      <w:r w:rsidRPr="00DC3C74">
        <w:rPr>
          <w:rFonts w:cstheme="minorHAnsi"/>
          <w:b/>
          <w:bCs/>
          <w:sz w:val="32"/>
          <w:szCs w:val="32"/>
        </w:rPr>
        <w:t xml:space="preserve">ou </w:t>
      </w:r>
      <w:r w:rsidR="00DC3C74">
        <w:rPr>
          <w:rFonts w:cstheme="minorHAnsi"/>
          <w:b/>
          <w:bCs/>
          <w:sz w:val="32"/>
          <w:szCs w:val="32"/>
        </w:rPr>
        <w:t>K</w:t>
      </w:r>
      <w:r w:rsidRPr="00DC3C74">
        <w:rPr>
          <w:rFonts w:cstheme="minorHAnsi"/>
          <w:b/>
          <w:bCs/>
          <w:sz w:val="32"/>
          <w:szCs w:val="32"/>
        </w:rPr>
        <w:t xml:space="preserve">now </w:t>
      </w:r>
      <w:r w:rsidR="00DC3C74">
        <w:rPr>
          <w:rFonts w:cstheme="minorHAnsi"/>
          <w:b/>
          <w:bCs/>
          <w:sz w:val="32"/>
          <w:szCs w:val="32"/>
        </w:rPr>
        <w:t>i</w:t>
      </w:r>
      <w:r w:rsidRPr="00DC3C74">
        <w:rPr>
          <w:rFonts w:cstheme="minorHAnsi"/>
          <w:b/>
          <w:bCs/>
          <w:sz w:val="32"/>
          <w:szCs w:val="32"/>
        </w:rPr>
        <w:t xml:space="preserve">f </w:t>
      </w:r>
      <w:r w:rsidR="00DC3C74">
        <w:rPr>
          <w:rFonts w:cstheme="minorHAnsi"/>
          <w:b/>
          <w:bCs/>
          <w:sz w:val="32"/>
          <w:szCs w:val="32"/>
        </w:rPr>
        <w:t>Y</w:t>
      </w:r>
      <w:r w:rsidRPr="00DC3C74">
        <w:rPr>
          <w:rFonts w:cstheme="minorHAnsi"/>
          <w:b/>
          <w:bCs/>
          <w:sz w:val="32"/>
          <w:szCs w:val="32"/>
        </w:rPr>
        <w:t xml:space="preserve">our </w:t>
      </w:r>
      <w:r w:rsidR="00DC3C74">
        <w:rPr>
          <w:rFonts w:cstheme="minorHAnsi"/>
          <w:b/>
          <w:bCs/>
          <w:sz w:val="32"/>
          <w:szCs w:val="32"/>
        </w:rPr>
        <w:t>S</w:t>
      </w:r>
      <w:r w:rsidRPr="00DC3C74">
        <w:rPr>
          <w:rFonts w:cstheme="minorHAnsi"/>
          <w:b/>
          <w:bCs/>
          <w:sz w:val="32"/>
          <w:szCs w:val="32"/>
        </w:rPr>
        <w:t xml:space="preserve">avings </w:t>
      </w:r>
      <w:r w:rsidR="00DC3C74">
        <w:rPr>
          <w:rFonts w:cstheme="minorHAnsi"/>
          <w:b/>
          <w:bCs/>
          <w:sz w:val="32"/>
          <w:szCs w:val="32"/>
        </w:rPr>
        <w:t>a</w:t>
      </w:r>
      <w:r w:rsidRPr="00DC3C74">
        <w:rPr>
          <w:rFonts w:cstheme="minorHAnsi"/>
          <w:b/>
          <w:bCs/>
          <w:sz w:val="32"/>
          <w:szCs w:val="32"/>
        </w:rPr>
        <w:t xml:space="preserve">re </w:t>
      </w:r>
      <w:r w:rsidR="00DC3C74">
        <w:rPr>
          <w:rFonts w:cstheme="minorHAnsi"/>
          <w:b/>
          <w:bCs/>
          <w:sz w:val="32"/>
          <w:szCs w:val="32"/>
        </w:rPr>
        <w:t>S</w:t>
      </w:r>
      <w:r w:rsidRPr="00DC3C74">
        <w:rPr>
          <w:rFonts w:cstheme="minorHAnsi"/>
          <w:b/>
          <w:bCs/>
          <w:sz w:val="32"/>
          <w:szCs w:val="32"/>
        </w:rPr>
        <w:t>afe?</w:t>
      </w:r>
    </w:p>
    <w:p w14:paraId="10DDA293" w14:textId="77777777" w:rsidR="001C7416" w:rsidRPr="00DC3C74" w:rsidRDefault="001C7416" w:rsidP="001C7416">
      <w:pPr>
        <w:rPr>
          <w:rFonts w:cstheme="minorHAnsi"/>
          <w:sz w:val="22"/>
          <w:szCs w:val="22"/>
        </w:rPr>
      </w:pPr>
    </w:p>
    <w:p w14:paraId="21B28D2A" w14:textId="77777777" w:rsidR="001C7416" w:rsidRPr="00DC3C74" w:rsidRDefault="001C7416" w:rsidP="001C7416">
      <w:pPr>
        <w:rPr>
          <w:rFonts w:cstheme="minorHAnsi"/>
          <w:sz w:val="22"/>
          <w:szCs w:val="22"/>
        </w:rPr>
      </w:pPr>
      <w:r w:rsidRPr="00DC3C74">
        <w:rPr>
          <w:rFonts w:cstheme="minorHAnsi"/>
          <w:sz w:val="22"/>
          <w:szCs w:val="22"/>
        </w:rPr>
        <w:t>What happens if the institution that looks after your savings goes bust? While memories of the 2008 banking crisis are receding with each passing year, there will always be a concern that money placed with any bank or other institution could be at risk.</w:t>
      </w:r>
    </w:p>
    <w:p w14:paraId="59DE3ABB" w14:textId="77777777" w:rsidR="001C7416" w:rsidRPr="00DC3C74" w:rsidRDefault="001C7416" w:rsidP="001C7416">
      <w:pPr>
        <w:rPr>
          <w:rFonts w:cstheme="minorHAnsi"/>
          <w:sz w:val="22"/>
          <w:szCs w:val="22"/>
        </w:rPr>
      </w:pPr>
    </w:p>
    <w:p w14:paraId="574197C2" w14:textId="77777777" w:rsidR="00A50987" w:rsidRDefault="001C7416" w:rsidP="001C7416">
      <w:pPr>
        <w:rPr>
          <w:rFonts w:cstheme="minorHAnsi"/>
          <w:sz w:val="22"/>
          <w:szCs w:val="22"/>
        </w:rPr>
      </w:pPr>
      <w:r w:rsidRPr="00DC3C74">
        <w:rPr>
          <w:rFonts w:cstheme="minorHAnsi"/>
          <w:sz w:val="22"/>
          <w:szCs w:val="22"/>
        </w:rPr>
        <w:t xml:space="preserve">So, is your nest egg really at risk in 2024? </w:t>
      </w:r>
      <w:r w:rsidR="00A50987">
        <w:rPr>
          <w:rFonts w:cstheme="minorHAnsi"/>
          <w:sz w:val="22"/>
          <w:szCs w:val="22"/>
        </w:rPr>
        <w:t xml:space="preserve">After the 2008 banking crisis, the Government stepped in to minimise the risk to your savings when and if banks go bust. </w:t>
      </w:r>
    </w:p>
    <w:p w14:paraId="4B7E52C7" w14:textId="77777777" w:rsidR="00A50987" w:rsidRDefault="00A50987" w:rsidP="001C7416">
      <w:pPr>
        <w:rPr>
          <w:rFonts w:cstheme="minorHAnsi"/>
          <w:sz w:val="22"/>
          <w:szCs w:val="22"/>
        </w:rPr>
      </w:pPr>
    </w:p>
    <w:p w14:paraId="3D7FF3CC" w14:textId="1722C35A" w:rsidR="001C7416" w:rsidRPr="00DC3C74" w:rsidRDefault="00A50987" w:rsidP="001C7416">
      <w:pPr>
        <w:rPr>
          <w:rFonts w:cstheme="minorHAnsi"/>
          <w:sz w:val="22"/>
          <w:szCs w:val="22"/>
        </w:rPr>
      </w:pPr>
      <w:r>
        <w:rPr>
          <w:rFonts w:cstheme="minorHAnsi"/>
          <w:sz w:val="22"/>
          <w:szCs w:val="22"/>
        </w:rPr>
        <w:t xml:space="preserve">Furthermore, from 2019, it became UK Law that </w:t>
      </w:r>
      <w:r w:rsidRPr="00A50987">
        <w:rPr>
          <w:rFonts w:cstheme="minorHAnsi"/>
          <w:sz w:val="22"/>
          <w:szCs w:val="22"/>
        </w:rPr>
        <w:t>to separate core retail banking services</w:t>
      </w:r>
      <w:r>
        <w:rPr>
          <w:rFonts w:cstheme="minorHAnsi"/>
          <w:sz w:val="22"/>
          <w:szCs w:val="22"/>
        </w:rPr>
        <w:t xml:space="preserve"> (including current accounts, </w:t>
      </w:r>
      <w:proofErr w:type="gramStart"/>
      <w:r>
        <w:rPr>
          <w:rFonts w:cstheme="minorHAnsi"/>
          <w:sz w:val="22"/>
          <w:szCs w:val="22"/>
        </w:rPr>
        <w:t>mortgages</w:t>
      </w:r>
      <w:proofErr w:type="gramEnd"/>
      <w:r>
        <w:rPr>
          <w:rFonts w:cstheme="minorHAnsi"/>
          <w:sz w:val="22"/>
          <w:szCs w:val="22"/>
        </w:rPr>
        <w:t xml:space="preserve"> and savings)</w:t>
      </w:r>
      <w:r w:rsidRPr="00A50987">
        <w:rPr>
          <w:rFonts w:cstheme="minorHAnsi"/>
          <w:sz w:val="22"/>
          <w:szCs w:val="22"/>
        </w:rPr>
        <w:t xml:space="preserve"> from their investment and international banking activities</w:t>
      </w:r>
      <w:r>
        <w:rPr>
          <w:rFonts w:cstheme="minorHAnsi"/>
          <w:sz w:val="22"/>
          <w:szCs w:val="22"/>
        </w:rPr>
        <w:t xml:space="preserve"> – </w:t>
      </w:r>
      <w:r w:rsidRPr="00A50987">
        <w:rPr>
          <w:rFonts w:cstheme="minorHAnsi"/>
          <w:sz w:val="22"/>
          <w:szCs w:val="22"/>
        </w:rPr>
        <w:t>known as ring-fencing.</w:t>
      </w:r>
      <w:r>
        <w:rPr>
          <w:rFonts w:cstheme="minorHAnsi"/>
          <w:sz w:val="22"/>
          <w:szCs w:val="22"/>
        </w:rPr>
        <w:t xml:space="preserve"> </w:t>
      </w:r>
      <w:r w:rsidR="001C7416" w:rsidRPr="00DC3C74">
        <w:rPr>
          <w:rFonts w:cstheme="minorHAnsi"/>
          <w:sz w:val="22"/>
          <w:szCs w:val="22"/>
        </w:rPr>
        <w:t>This means that savers’ money deposited with banks cannot be used to fund other parts of their operation that might be involved with their more speculative activities.</w:t>
      </w:r>
      <w:r w:rsidRPr="00A50987">
        <w:rPr>
          <w:rFonts w:cstheme="minorHAnsi"/>
          <w:sz w:val="22"/>
          <w:szCs w:val="22"/>
          <w:vertAlign w:val="superscript"/>
        </w:rPr>
        <w:t>1</w:t>
      </w:r>
    </w:p>
    <w:p w14:paraId="70B8A71B" w14:textId="77777777" w:rsidR="001C7416" w:rsidRPr="00DC3C74" w:rsidRDefault="001C7416" w:rsidP="001C7416">
      <w:pPr>
        <w:rPr>
          <w:rFonts w:cstheme="minorHAnsi"/>
          <w:sz w:val="22"/>
          <w:szCs w:val="22"/>
        </w:rPr>
      </w:pPr>
    </w:p>
    <w:p w14:paraId="76EFBA61" w14:textId="77777777" w:rsidR="001C7416" w:rsidRPr="00DC3C74" w:rsidRDefault="001C7416" w:rsidP="001C7416">
      <w:pPr>
        <w:rPr>
          <w:rFonts w:cstheme="minorHAnsi"/>
          <w:sz w:val="22"/>
          <w:szCs w:val="22"/>
        </w:rPr>
      </w:pPr>
      <w:r w:rsidRPr="00DC3C74">
        <w:rPr>
          <w:rFonts w:cstheme="minorHAnsi"/>
          <w:sz w:val="22"/>
          <w:szCs w:val="22"/>
        </w:rPr>
        <w:t>Many people have a rough idea that they will be compensated if the institution which holds their money goes bust, but it is not an all-encompassing ‘get out of jail free’ card. There are conditions for compensation that govern what kind of investment, where it is deposited and how much is covered.</w:t>
      </w:r>
    </w:p>
    <w:p w14:paraId="65CE19F1" w14:textId="77777777" w:rsidR="001C7416" w:rsidRPr="00DC3C74" w:rsidRDefault="001C7416" w:rsidP="001C7416">
      <w:pPr>
        <w:rPr>
          <w:rFonts w:cstheme="minorHAnsi"/>
          <w:sz w:val="22"/>
          <w:szCs w:val="22"/>
        </w:rPr>
      </w:pPr>
    </w:p>
    <w:p w14:paraId="2EC61263" w14:textId="2EE5612D" w:rsidR="001C7416" w:rsidRPr="00DC3C74" w:rsidRDefault="001C7416" w:rsidP="001C7416">
      <w:pPr>
        <w:rPr>
          <w:rFonts w:cstheme="minorHAnsi"/>
          <w:sz w:val="22"/>
          <w:szCs w:val="22"/>
        </w:rPr>
      </w:pPr>
      <w:r w:rsidRPr="00DC3C74">
        <w:rPr>
          <w:rFonts w:cstheme="minorHAnsi"/>
          <w:sz w:val="22"/>
          <w:szCs w:val="22"/>
        </w:rPr>
        <w:t>The body which acts for those of us whose bank or institution has gone bust is the Financial Services Compensation Scheme (FSCS). Set up in 2001, it ensures that in the event of a catastrophic event, depositors can get their money back.</w:t>
      </w:r>
      <w:r w:rsidR="00AE6ABA" w:rsidRPr="00AE6ABA">
        <w:rPr>
          <w:rFonts w:cstheme="minorHAnsi"/>
          <w:sz w:val="22"/>
          <w:szCs w:val="22"/>
          <w:vertAlign w:val="superscript"/>
        </w:rPr>
        <w:t>2</w:t>
      </w:r>
    </w:p>
    <w:p w14:paraId="7FBC1FA6" w14:textId="2DBEEF05" w:rsidR="001C7416" w:rsidRPr="00DC3C74" w:rsidRDefault="001C7416" w:rsidP="001C7416">
      <w:pPr>
        <w:pStyle w:val="NormalWeb"/>
        <w:rPr>
          <w:rFonts w:asciiTheme="minorHAnsi" w:hAnsiTheme="minorHAnsi" w:cstheme="minorHAnsi"/>
          <w:sz w:val="22"/>
          <w:szCs w:val="22"/>
        </w:rPr>
      </w:pPr>
      <w:r w:rsidRPr="00DC3C74">
        <w:rPr>
          <w:rFonts w:asciiTheme="minorHAnsi" w:hAnsiTheme="minorHAnsi" w:cstheme="minorHAnsi"/>
          <w:sz w:val="22"/>
          <w:szCs w:val="22"/>
        </w:rPr>
        <w:t>If </w:t>
      </w:r>
      <w:r w:rsidRPr="00DC3C74">
        <w:rPr>
          <w:rFonts w:asciiTheme="minorHAnsi" w:hAnsiTheme="minorHAnsi" w:cstheme="minorHAnsi"/>
          <w:color w:val="000000" w:themeColor="text1"/>
          <w:sz w:val="22"/>
          <w:szCs w:val="22"/>
        </w:rPr>
        <w:t>you hold money with a UK authorised bank</w:t>
      </w:r>
      <w:r w:rsidRPr="00DC3C74">
        <w:rPr>
          <w:rFonts w:asciiTheme="minorHAnsi" w:hAnsiTheme="minorHAnsi" w:cstheme="minorHAnsi"/>
          <w:sz w:val="22"/>
          <w:szCs w:val="22"/>
        </w:rPr>
        <w:t>, building society or </w:t>
      </w:r>
      <w:r w:rsidRPr="00DC3C74">
        <w:rPr>
          <w:rFonts w:asciiTheme="minorHAnsi" w:hAnsiTheme="minorHAnsi" w:cstheme="minorHAnsi"/>
          <w:color w:val="000000" w:themeColor="text1"/>
          <w:sz w:val="22"/>
          <w:szCs w:val="22"/>
        </w:rPr>
        <w:t>credit union </w:t>
      </w:r>
      <w:r w:rsidRPr="00DC3C74">
        <w:rPr>
          <w:rFonts w:asciiTheme="minorHAnsi" w:hAnsiTheme="minorHAnsi" w:cstheme="minorHAnsi"/>
          <w:sz w:val="22"/>
          <w:szCs w:val="22"/>
        </w:rPr>
        <w:t>that fails, the FCFS will automatically compensate you</w:t>
      </w:r>
      <w:r w:rsidR="002F4804">
        <w:rPr>
          <w:rFonts w:asciiTheme="minorHAnsi" w:hAnsiTheme="minorHAnsi" w:cstheme="minorHAnsi"/>
          <w:sz w:val="22"/>
          <w:szCs w:val="22"/>
        </w:rPr>
        <w:t>:</w:t>
      </w:r>
    </w:p>
    <w:p w14:paraId="6F1732A4" w14:textId="77777777" w:rsidR="001C7416" w:rsidRPr="00DC3C74" w:rsidRDefault="001C7416" w:rsidP="001C7416">
      <w:pPr>
        <w:numPr>
          <w:ilvl w:val="0"/>
          <w:numId w:val="1"/>
        </w:numPr>
        <w:spacing w:before="100" w:beforeAutospacing="1" w:after="100" w:afterAutospacing="1"/>
        <w:rPr>
          <w:rFonts w:eastAsia="Times New Roman" w:cstheme="minorHAnsi"/>
          <w:kern w:val="0"/>
          <w:sz w:val="22"/>
          <w:szCs w:val="22"/>
          <w:lang w:eastAsia="en-GB"/>
          <w14:ligatures w14:val="none"/>
        </w:rPr>
      </w:pPr>
      <w:r w:rsidRPr="00DC3C74">
        <w:rPr>
          <w:rFonts w:eastAsia="Times New Roman" w:cstheme="minorHAnsi"/>
          <w:kern w:val="0"/>
          <w:sz w:val="22"/>
          <w:szCs w:val="22"/>
          <w:lang w:eastAsia="en-GB"/>
          <w14:ligatures w14:val="none"/>
        </w:rPr>
        <w:t>up to </w:t>
      </w:r>
      <w:r w:rsidRPr="00DC3C74">
        <w:rPr>
          <w:rFonts w:eastAsia="Times New Roman" w:cstheme="minorHAnsi"/>
          <w:b/>
          <w:bCs/>
          <w:kern w:val="0"/>
          <w:sz w:val="22"/>
          <w:szCs w:val="22"/>
          <w:lang w:eastAsia="en-GB"/>
          <w14:ligatures w14:val="none"/>
        </w:rPr>
        <w:t>£85,000</w:t>
      </w:r>
      <w:r w:rsidRPr="00DC3C74">
        <w:rPr>
          <w:rFonts w:eastAsia="Times New Roman" w:cstheme="minorHAnsi"/>
          <w:kern w:val="0"/>
          <w:sz w:val="22"/>
          <w:szCs w:val="22"/>
          <w:lang w:eastAsia="en-GB"/>
          <w14:ligatures w14:val="none"/>
        </w:rPr>
        <w:t> per eligible person, per bank, building society or credit union.</w:t>
      </w:r>
    </w:p>
    <w:p w14:paraId="67FEA9D9" w14:textId="77777777" w:rsidR="001C7416" w:rsidRPr="00DC3C74" w:rsidRDefault="001C7416" w:rsidP="001C7416">
      <w:pPr>
        <w:numPr>
          <w:ilvl w:val="0"/>
          <w:numId w:val="1"/>
        </w:numPr>
        <w:spacing w:before="100" w:beforeAutospacing="1" w:after="100" w:afterAutospacing="1"/>
        <w:rPr>
          <w:rFonts w:eastAsia="Times New Roman" w:cstheme="minorHAnsi"/>
          <w:kern w:val="0"/>
          <w:sz w:val="22"/>
          <w:szCs w:val="22"/>
          <w:lang w:eastAsia="en-GB"/>
          <w14:ligatures w14:val="none"/>
        </w:rPr>
      </w:pPr>
      <w:r w:rsidRPr="00DC3C74">
        <w:rPr>
          <w:rFonts w:eastAsia="Times New Roman" w:cstheme="minorHAnsi"/>
          <w:kern w:val="0"/>
          <w:sz w:val="22"/>
          <w:szCs w:val="22"/>
          <w:lang w:eastAsia="en-GB"/>
          <w14:ligatures w14:val="none"/>
        </w:rPr>
        <w:t>up to </w:t>
      </w:r>
      <w:r w:rsidRPr="00DC3C74">
        <w:rPr>
          <w:rFonts w:eastAsia="Times New Roman" w:cstheme="minorHAnsi"/>
          <w:b/>
          <w:bCs/>
          <w:kern w:val="0"/>
          <w:sz w:val="22"/>
          <w:szCs w:val="22"/>
          <w:lang w:eastAsia="en-GB"/>
          <w14:ligatures w14:val="none"/>
        </w:rPr>
        <w:t>£170,000 </w:t>
      </w:r>
      <w:r w:rsidRPr="00DC3C74">
        <w:rPr>
          <w:rFonts w:eastAsia="Times New Roman" w:cstheme="minorHAnsi"/>
          <w:kern w:val="0"/>
          <w:sz w:val="22"/>
          <w:szCs w:val="22"/>
          <w:lang w:eastAsia="en-GB"/>
          <w14:ligatures w14:val="none"/>
        </w:rPr>
        <w:t>for joint accounts.</w:t>
      </w:r>
    </w:p>
    <w:p w14:paraId="2FC6D5CE" w14:textId="481DCB68" w:rsidR="001C7416" w:rsidRPr="00DC3C74" w:rsidRDefault="001C7416" w:rsidP="001C7416">
      <w:pPr>
        <w:rPr>
          <w:rFonts w:cstheme="minorHAnsi"/>
          <w:sz w:val="22"/>
          <w:szCs w:val="22"/>
        </w:rPr>
      </w:pPr>
      <w:r w:rsidRPr="00DC3C74">
        <w:rPr>
          <w:rFonts w:cstheme="minorHAnsi"/>
          <w:sz w:val="22"/>
          <w:szCs w:val="22"/>
        </w:rPr>
        <w:t xml:space="preserve">To discover whether your investment is eligible for compensation if the worst happens, </w:t>
      </w:r>
      <w:r w:rsidR="002F4804">
        <w:rPr>
          <w:rFonts w:cstheme="minorHAnsi"/>
          <w:sz w:val="22"/>
          <w:szCs w:val="22"/>
        </w:rPr>
        <w:t xml:space="preserve">you can visit </w:t>
      </w:r>
      <w:hyperlink r:id="rId6" w:history="1">
        <w:r w:rsidR="001F527D" w:rsidRPr="007E634D">
          <w:rPr>
            <w:rStyle w:val="Hyperlink"/>
            <w:rFonts w:cstheme="minorHAnsi"/>
            <w:sz w:val="22"/>
            <w:szCs w:val="22"/>
          </w:rPr>
          <w:t>https://www.fscs.org.uk/check/</w:t>
        </w:r>
      </w:hyperlink>
    </w:p>
    <w:p w14:paraId="7A050FDB" w14:textId="77777777" w:rsidR="001C7416" w:rsidRPr="00DC3C74" w:rsidRDefault="001C7416" w:rsidP="001C7416">
      <w:pPr>
        <w:rPr>
          <w:rFonts w:cstheme="minorHAnsi"/>
          <w:sz w:val="22"/>
          <w:szCs w:val="22"/>
        </w:rPr>
      </w:pPr>
    </w:p>
    <w:p w14:paraId="2F3E4476" w14:textId="77777777" w:rsidR="001C7416" w:rsidRPr="00DC3C74" w:rsidRDefault="001C7416" w:rsidP="001C7416">
      <w:pPr>
        <w:rPr>
          <w:rFonts w:cstheme="minorHAnsi"/>
          <w:sz w:val="22"/>
          <w:szCs w:val="22"/>
        </w:rPr>
      </w:pPr>
      <w:r w:rsidRPr="00DC3C74">
        <w:rPr>
          <w:rFonts w:cstheme="minorHAnsi"/>
          <w:sz w:val="22"/>
          <w:szCs w:val="22"/>
        </w:rPr>
        <w:t xml:space="preserve">The FSCS does not cover other investments such as stocks and shares, so be careful when you are investing to check that not only the institution you are using is a member of the </w:t>
      </w:r>
      <w:proofErr w:type="gramStart"/>
      <w:r w:rsidRPr="00DC3C74">
        <w:rPr>
          <w:rFonts w:cstheme="minorHAnsi"/>
          <w:sz w:val="22"/>
          <w:szCs w:val="22"/>
        </w:rPr>
        <w:t>FSCS</w:t>
      </w:r>
      <w:proofErr w:type="gramEnd"/>
      <w:r w:rsidRPr="00DC3C74">
        <w:rPr>
          <w:rFonts w:cstheme="minorHAnsi"/>
          <w:sz w:val="22"/>
          <w:szCs w:val="22"/>
        </w:rPr>
        <w:t xml:space="preserve"> but the investment is of the right type.</w:t>
      </w:r>
    </w:p>
    <w:p w14:paraId="02D53F1C" w14:textId="77777777" w:rsidR="001C7416" w:rsidRDefault="001C7416" w:rsidP="001C7416"/>
    <w:p w14:paraId="17318D0C" w14:textId="438193A9" w:rsidR="00A50987" w:rsidRPr="00AE6ABA" w:rsidRDefault="00A50987" w:rsidP="00DC3C74">
      <w:pPr>
        <w:rPr>
          <w:rFonts w:cs="Calibri"/>
          <w:b/>
          <w:bCs/>
          <w:u w:val="single"/>
        </w:rPr>
      </w:pPr>
      <w:r w:rsidRPr="00AE6ABA">
        <w:rPr>
          <w:rFonts w:cs="Calibri"/>
          <w:b/>
          <w:bCs/>
          <w:u w:val="single"/>
        </w:rPr>
        <w:t>Sources</w:t>
      </w:r>
    </w:p>
    <w:p w14:paraId="77C08C2B" w14:textId="77777777" w:rsidR="00A50987" w:rsidRDefault="00A50987" w:rsidP="00DC3C74">
      <w:pPr>
        <w:rPr>
          <w:rFonts w:cs="Calibri"/>
          <w:sz w:val="22"/>
          <w:szCs w:val="22"/>
        </w:rPr>
      </w:pPr>
    </w:p>
    <w:p w14:paraId="5CFF3EF4" w14:textId="1BF3BE15" w:rsidR="00BF768A" w:rsidRPr="00AE6ABA" w:rsidRDefault="00BF768A" w:rsidP="00AE6ABA">
      <w:pPr>
        <w:pStyle w:val="ListParagraph"/>
        <w:numPr>
          <w:ilvl w:val="0"/>
          <w:numId w:val="2"/>
        </w:numPr>
        <w:rPr>
          <w:rFonts w:cs="Calibri"/>
          <w:sz w:val="22"/>
          <w:szCs w:val="22"/>
        </w:rPr>
      </w:pPr>
      <w:r w:rsidRPr="00AE6ABA">
        <w:rPr>
          <w:rFonts w:cs="Calibri"/>
          <w:sz w:val="22"/>
          <w:szCs w:val="22"/>
        </w:rPr>
        <w:t xml:space="preserve">Bank of England (2024) </w:t>
      </w:r>
      <w:r w:rsidRPr="00AE6ABA">
        <w:rPr>
          <w:rFonts w:cs="Calibri"/>
          <w:i/>
          <w:iCs/>
          <w:sz w:val="22"/>
          <w:szCs w:val="22"/>
        </w:rPr>
        <w:t>Ring-fencing.</w:t>
      </w:r>
      <w:r w:rsidRPr="00AE6ABA">
        <w:rPr>
          <w:rFonts w:cs="Calibri"/>
          <w:sz w:val="22"/>
          <w:szCs w:val="22"/>
        </w:rPr>
        <w:t xml:space="preserve"> Available at: </w:t>
      </w:r>
      <w:hyperlink r:id="rId7" w:history="1">
        <w:r w:rsidRPr="00AE6ABA">
          <w:rPr>
            <w:rStyle w:val="Hyperlink"/>
            <w:rFonts w:cs="Calibri"/>
            <w:sz w:val="22"/>
            <w:szCs w:val="22"/>
          </w:rPr>
          <w:t>https://www.bankofengland.co.uk/prudential-regulation/key-initiatives/ring-fencing</w:t>
        </w:r>
      </w:hyperlink>
      <w:r w:rsidRPr="00AE6ABA">
        <w:rPr>
          <w:rFonts w:cs="Calibri"/>
          <w:sz w:val="22"/>
          <w:szCs w:val="22"/>
        </w:rPr>
        <w:t xml:space="preserve"> [Accessed </w:t>
      </w:r>
      <w:r w:rsidR="00FB29BF">
        <w:rPr>
          <w:rFonts w:cs="Calibri"/>
          <w:sz w:val="22"/>
          <w:szCs w:val="22"/>
        </w:rPr>
        <w:t xml:space="preserve">21 May </w:t>
      </w:r>
      <w:r w:rsidRPr="00AE6ABA">
        <w:rPr>
          <w:rFonts w:cs="Calibri"/>
          <w:sz w:val="22"/>
          <w:szCs w:val="22"/>
        </w:rPr>
        <w:t>2024]</w:t>
      </w:r>
    </w:p>
    <w:p w14:paraId="5F9E7077" w14:textId="6C0ED21F" w:rsidR="00AE6ABA" w:rsidRPr="00AE6ABA" w:rsidRDefault="00AE6ABA" w:rsidP="00AE6ABA">
      <w:pPr>
        <w:pStyle w:val="ListParagraph"/>
        <w:numPr>
          <w:ilvl w:val="0"/>
          <w:numId w:val="2"/>
        </w:numPr>
        <w:rPr>
          <w:rFonts w:cs="Calibri"/>
          <w:sz w:val="22"/>
          <w:szCs w:val="22"/>
        </w:rPr>
      </w:pPr>
      <w:r w:rsidRPr="00AE6ABA">
        <w:rPr>
          <w:rFonts w:cs="Calibri"/>
          <w:sz w:val="22"/>
          <w:szCs w:val="22"/>
        </w:rPr>
        <w:t xml:space="preserve">Financial Services Compensation Scheme (2024). </w:t>
      </w:r>
      <w:r w:rsidRPr="00AE6ABA">
        <w:rPr>
          <w:rFonts w:cs="Calibri"/>
          <w:i/>
          <w:iCs/>
          <w:sz w:val="22"/>
          <w:szCs w:val="22"/>
        </w:rPr>
        <w:t>What we cover.</w:t>
      </w:r>
      <w:r w:rsidRPr="00AE6ABA">
        <w:rPr>
          <w:rFonts w:cs="Calibri"/>
          <w:sz w:val="22"/>
          <w:szCs w:val="22"/>
        </w:rPr>
        <w:t xml:space="preserve"> Available at: </w:t>
      </w:r>
      <w:hyperlink r:id="rId8" w:history="1">
        <w:r w:rsidRPr="00AE6ABA">
          <w:rPr>
            <w:rStyle w:val="Hyperlink"/>
            <w:rFonts w:cs="Calibri"/>
            <w:sz w:val="22"/>
            <w:szCs w:val="22"/>
          </w:rPr>
          <w:t>https://www.fscs.org.uk/what-we</w:t>
        </w:r>
        <w:r w:rsidRPr="00AE6ABA">
          <w:rPr>
            <w:rStyle w:val="Hyperlink"/>
            <w:rFonts w:cs="Calibri"/>
            <w:sz w:val="22"/>
            <w:szCs w:val="22"/>
          </w:rPr>
          <w:t>-</w:t>
        </w:r>
        <w:r w:rsidRPr="00AE6ABA">
          <w:rPr>
            <w:rStyle w:val="Hyperlink"/>
            <w:rFonts w:cs="Calibri"/>
            <w:sz w:val="22"/>
            <w:szCs w:val="22"/>
          </w:rPr>
          <w:t>cover/</w:t>
        </w:r>
      </w:hyperlink>
      <w:r w:rsidRPr="00AE6ABA">
        <w:rPr>
          <w:rFonts w:cs="Calibri"/>
          <w:sz w:val="22"/>
          <w:szCs w:val="22"/>
        </w:rPr>
        <w:t xml:space="preserve"> [Accessed </w:t>
      </w:r>
      <w:r w:rsidR="00FB29BF">
        <w:rPr>
          <w:rFonts w:cs="Calibri"/>
          <w:sz w:val="22"/>
          <w:szCs w:val="22"/>
        </w:rPr>
        <w:t>21 May</w:t>
      </w:r>
      <w:r w:rsidRPr="00AE6ABA">
        <w:rPr>
          <w:rFonts w:cs="Calibri"/>
          <w:sz w:val="22"/>
          <w:szCs w:val="22"/>
        </w:rPr>
        <w:t xml:space="preserve"> 2024]</w:t>
      </w:r>
    </w:p>
    <w:p w14:paraId="72B52A31" w14:textId="77777777" w:rsidR="00A50987" w:rsidRDefault="00A50987" w:rsidP="00DC3C74">
      <w:pPr>
        <w:rPr>
          <w:rFonts w:cs="Calibri"/>
          <w:sz w:val="22"/>
          <w:szCs w:val="22"/>
        </w:rPr>
      </w:pPr>
    </w:p>
    <w:p w14:paraId="1725DA91" w14:textId="77777777" w:rsidR="00A50987" w:rsidRDefault="00A50987" w:rsidP="00DC3C74">
      <w:pPr>
        <w:rPr>
          <w:rFonts w:cs="Calibri"/>
          <w:sz w:val="22"/>
          <w:szCs w:val="22"/>
        </w:rPr>
      </w:pPr>
    </w:p>
    <w:p w14:paraId="57E4749C" w14:textId="7A256C3B" w:rsidR="00DC3C74" w:rsidRPr="00FB29BF" w:rsidRDefault="00DC3C74" w:rsidP="00DC3C74">
      <w:pPr>
        <w:rPr>
          <w:rFonts w:cs="Calibri"/>
          <w:i/>
          <w:iCs/>
          <w:sz w:val="22"/>
          <w:szCs w:val="22"/>
        </w:rPr>
      </w:pPr>
      <w:r w:rsidRPr="00FB29BF">
        <w:rPr>
          <w:rFonts w:cs="Calibri"/>
          <w:i/>
          <w:iCs/>
          <w:sz w:val="22"/>
          <w:szCs w:val="22"/>
        </w:rPr>
        <w:t xml:space="preserve">All the information in this article is correct as of the publish date </w:t>
      </w:r>
      <w:r w:rsidR="00FB29BF" w:rsidRPr="00FB29BF">
        <w:rPr>
          <w:rFonts w:cs="Calibri"/>
          <w:i/>
          <w:iCs/>
          <w:sz w:val="22"/>
          <w:szCs w:val="22"/>
        </w:rPr>
        <w:t>30</w:t>
      </w:r>
      <w:r w:rsidR="00FB29BF" w:rsidRPr="00FB29BF">
        <w:rPr>
          <w:rFonts w:cs="Calibri"/>
          <w:i/>
          <w:iCs/>
          <w:sz w:val="22"/>
          <w:szCs w:val="22"/>
          <w:vertAlign w:val="superscript"/>
        </w:rPr>
        <w:t>th</w:t>
      </w:r>
      <w:r w:rsidR="00FB29BF" w:rsidRPr="00FB29BF">
        <w:rPr>
          <w:rFonts w:cs="Calibri"/>
          <w:i/>
          <w:iCs/>
          <w:sz w:val="22"/>
          <w:szCs w:val="22"/>
        </w:rPr>
        <w:t xml:space="preserve"> May</w:t>
      </w:r>
      <w:r w:rsidRPr="00FB29BF">
        <w:rPr>
          <w:rFonts w:cs="Calibri"/>
          <w:i/>
          <w:iCs/>
          <w:sz w:val="22"/>
          <w:szCs w:val="22"/>
        </w:rPr>
        <w:t xml:space="preserve"> 2024. The opinions expressed in this publication are those of the authors. The information provided in this article, including text, graphics and images does not, and is not intended to, substitute advice; instead, all information, </w:t>
      </w:r>
      <w:proofErr w:type="gramStart"/>
      <w:r w:rsidRPr="00FB29BF">
        <w:rPr>
          <w:rFonts w:cs="Calibri"/>
          <w:i/>
          <w:iCs/>
          <w:sz w:val="22"/>
          <w:szCs w:val="22"/>
        </w:rPr>
        <w:t>content</w:t>
      </w:r>
      <w:proofErr w:type="gramEnd"/>
      <w:r w:rsidRPr="00FB29BF">
        <w:rPr>
          <w:rFonts w:cs="Calibri"/>
          <w:i/>
          <w:iCs/>
          <w:sz w:val="22"/>
          <w:szCs w:val="22"/>
        </w:rPr>
        <w:t xml:space="preserve"> and materials available in this article are for general informational purposes only. Information in this article may not constitute the most up-to-date legal or other information.</w:t>
      </w:r>
    </w:p>
    <w:p w14:paraId="0B4DD49C" w14:textId="77777777" w:rsidR="00031B86" w:rsidRDefault="00031B86"/>
    <w:sectPr w:rsidR="00031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E6E65"/>
    <w:multiLevelType w:val="multilevel"/>
    <w:tmpl w:val="C06C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B66D48"/>
    <w:multiLevelType w:val="hybridMultilevel"/>
    <w:tmpl w:val="3E546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499592">
    <w:abstractNumId w:val="0"/>
  </w:num>
  <w:num w:numId="2" w16cid:durableId="707145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6"/>
    <w:rsid w:val="00031B86"/>
    <w:rsid w:val="001C7416"/>
    <w:rsid w:val="001F527D"/>
    <w:rsid w:val="00272E47"/>
    <w:rsid w:val="002F4804"/>
    <w:rsid w:val="004C645A"/>
    <w:rsid w:val="007751EB"/>
    <w:rsid w:val="00932FCF"/>
    <w:rsid w:val="00A34C47"/>
    <w:rsid w:val="00A50987"/>
    <w:rsid w:val="00AE6ABA"/>
    <w:rsid w:val="00BF768A"/>
    <w:rsid w:val="00CC2015"/>
    <w:rsid w:val="00DC3C74"/>
    <w:rsid w:val="00FB29BF"/>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0067"/>
  <w15:chartTrackingRefBased/>
  <w15:docId w15:val="{BD84F99E-8432-E540-A8B6-1F1BF4FE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16"/>
  </w:style>
  <w:style w:type="paragraph" w:styleId="Heading1">
    <w:name w:val="heading 1"/>
    <w:basedOn w:val="Normal"/>
    <w:next w:val="Normal"/>
    <w:link w:val="Heading1Char"/>
    <w:uiPriority w:val="9"/>
    <w:qFormat/>
    <w:rsid w:val="004C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5A"/>
    <w:rPr>
      <w:rFonts w:eastAsiaTheme="majorEastAsia" w:cstheme="majorBidi"/>
      <w:color w:val="272727" w:themeColor="text1" w:themeTint="D8"/>
    </w:rPr>
  </w:style>
  <w:style w:type="paragraph" w:styleId="Title">
    <w:name w:val="Title"/>
    <w:basedOn w:val="Normal"/>
    <w:next w:val="Normal"/>
    <w:link w:val="TitleChar"/>
    <w:uiPriority w:val="10"/>
    <w:qFormat/>
    <w:rsid w:val="004C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C645A"/>
    <w:pPr>
      <w:ind w:left="720"/>
      <w:contextualSpacing/>
    </w:pPr>
  </w:style>
  <w:style w:type="paragraph" w:styleId="Quote">
    <w:name w:val="Quote"/>
    <w:basedOn w:val="Normal"/>
    <w:next w:val="Normal"/>
    <w:link w:val="QuoteChar"/>
    <w:uiPriority w:val="29"/>
    <w:qFormat/>
    <w:rsid w:val="004C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45A"/>
    <w:rPr>
      <w:i/>
      <w:iCs/>
      <w:color w:val="404040" w:themeColor="text1" w:themeTint="BF"/>
    </w:rPr>
  </w:style>
  <w:style w:type="paragraph" w:styleId="IntenseQuote">
    <w:name w:val="Intense Quote"/>
    <w:basedOn w:val="Normal"/>
    <w:next w:val="Normal"/>
    <w:link w:val="IntenseQuoteChar"/>
    <w:uiPriority w:val="30"/>
    <w:qFormat/>
    <w:rsid w:val="004C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5A"/>
    <w:rPr>
      <w:i/>
      <w:iCs/>
      <w:color w:val="0F4761" w:themeColor="accent1" w:themeShade="BF"/>
    </w:rPr>
  </w:style>
  <w:style w:type="character" w:styleId="IntenseEmphasis">
    <w:name w:val="Intense Emphasis"/>
    <w:basedOn w:val="DefaultParagraphFont"/>
    <w:uiPriority w:val="21"/>
    <w:qFormat/>
    <w:rsid w:val="004C645A"/>
    <w:rPr>
      <w:i/>
      <w:iCs/>
      <w:color w:val="0F4761" w:themeColor="accent1" w:themeShade="BF"/>
    </w:rPr>
  </w:style>
  <w:style w:type="character" w:styleId="IntenseReference">
    <w:name w:val="Intense Reference"/>
    <w:basedOn w:val="DefaultParagraphFont"/>
    <w:uiPriority w:val="32"/>
    <w:qFormat/>
    <w:rsid w:val="004C645A"/>
    <w:rPr>
      <w:b/>
      <w:bCs/>
      <w:smallCaps/>
      <w:color w:val="0F4761" w:themeColor="accent1" w:themeShade="BF"/>
      <w:spacing w:val="5"/>
    </w:rPr>
  </w:style>
  <w:style w:type="paragraph" w:styleId="NormalWeb">
    <w:name w:val="Normal (Web)"/>
    <w:basedOn w:val="Normal"/>
    <w:uiPriority w:val="99"/>
    <w:semiHidden/>
    <w:unhideWhenUsed/>
    <w:rsid w:val="001C741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C7416"/>
    <w:rPr>
      <w:color w:val="0000FF"/>
      <w:u w:val="single"/>
    </w:rPr>
  </w:style>
  <w:style w:type="character" w:styleId="UnresolvedMention">
    <w:name w:val="Unresolved Mention"/>
    <w:basedOn w:val="DefaultParagraphFont"/>
    <w:uiPriority w:val="99"/>
    <w:semiHidden/>
    <w:unhideWhenUsed/>
    <w:rsid w:val="00BF768A"/>
    <w:rPr>
      <w:color w:val="605E5C"/>
      <w:shd w:val="clear" w:color="auto" w:fill="E1DFDD"/>
    </w:rPr>
  </w:style>
  <w:style w:type="character" w:styleId="FollowedHyperlink">
    <w:name w:val="FollowedHyperlink"/>
    <w:basedOn w:val="DefaultParagraphFont"/>
    <w:uiPriority w:val="99"/>
    <w:semiHidden/>
    <w:unhideWhenUsed/>
    <w:rsid w:val="00FB29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cs.org.uk/what-we-cove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bankofengland.co.uk/prudential-regulation/key-initiatives/ring-fencing"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scs.org.uk/check/"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AA6439-4A2E-46F4-A9AA-150C700D9071}">
  <ds:schemaRefs>
    <ds:schemaRef ds:uri="http://schemas.openxmlformats.org/officeDocument/2006/bibliography"/>
  </ds:schemaRefs>
</ds:datastoreItem>
</file>

<file path=customXml/itemProps2.xml><?xml version="1.0" encoding="utf-8"?>
<ds:datastoreItem xmlns:ds="http://schemas.openxmlformats.org/officeDocument/2006/customXml" ds:itemID="{DFAEB07E-7473-4814-A02C-AD2F8BC6BB3F}"/>
</file>

<file path=customXml/itemProps3.xml><?xml version="1.0" encoding="utf-8"?>
<ds:datastoreItem xmlns:ds="http://schemas.openxmlformats.org/officeDocument/2006/customXml" ds:itemID="{A6B1C76D-7C04-461B-A388-8C536CFD23B2}"/>
</file>

<file path=customXml/itemProps4.xml><?xml version="1.0" encoding="utf-8"?>
<ds:datastoreItem xmlns:ds="http://schemas.openxmlformats.org/officeDocument/2006/customXml" ds:itemID="{296CBE5E-1B78-448B-8F2C-90DD056F86D7}"/>
</file>

<file path=docProps/app.xml><?xml version="1.0" encoding="utf-8"?>
<Properties xmlns="http://schemas.openxmlformats.org/officeDocument/2006/extended-properties" xmlns:vt="http://schemas.openxmlformats.org/officeDocument/2006/docPropsVTypes">
  <Template>Normal</Template>
  <TotalTime>28</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6</cp:revision>
  <dcterms:created xsi:type="dcterms:W3CDTF">2024-04-17T09:58:00Z</dcterms:created>
  <dcterms:modified xsi:type="dcterms:W3CDTF">2024-05-21T13:15:00Z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