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CC2FA" w14:textId="77777777" w:rsidR="005310D2" w:rsidRPr="00FE2F97" w:rsidRDefault="005310D2" w:rsidP="005310D2">
      <w:pPr>
        <w:rPr>
          <w:b/>
          <w:bCs/>
          <w:sz w:val="44"/>
          <w:szCs w:val="44"/>
        </w:rPr>
      </w:pPr>
      <w:r>
        <w:rPr>
          <w:b/>
          <w:bCs/>
          <w:sz w:val="44"/>
          <w:szCs w:val="44"/>
        </w:rPr>
        <w:t>Property Experts Forecast 2025 to be a Buyer’s Market</w:t>
      </w:r>
    </w:p>
    <w:p w14:paraId="726BE5A2" w14:textId="77777777" w:rsidR="00B36BCA" w:rsidRDefault="00B36BCA" w:rsidP="0023446D"/>
    <w:p w14:paraId="1A0D3DDB" w14:textId="01B672C1" w:rsidR="005310D2" w:rsidRPr="005310D2" w:rsidRDefault="005310D2" w:rsidP="005310D2">
      <w:r w:rsidRPr="005310D2">
        <w:t xml:space="preserve">The UK housing market is showing signs of a strong start in 2025, with significant increases in new property listings and a rise in average asking prices. </w:t>
      </w:r>
      <w:r>
        <w:t xml:space="preserve">Estate agents </w:t>
      </w:r>
      <w:r w:rsidRPr="005310D2">
        <w:t>Rightmove report that the average price of properties coming to market has increased by 1.7% (£5,992) this month, reaching £366,189—the largest new year price jump since 2020</w:t>
      </w:r>
      <w:r w:rsidRPr="005310D2">
        <w:rPr>
          <w:vertAlign w:val="superscript"/>
        </w:rPr>
        <w:t>1</w:t>
      </w:r>
      <w:r w:rsidRPr="005310D2">
        <w:t>. Despite this growth, average prices remain approximately £9,000 below the peak reached in May 2024, reflecting ongoing affordability considerations for buyers</w:t>
      </w:r>
      <w:r w:rsidRPr="005310D2">
        <w:rPr>
          <w:vertAlign w:val="superscript"/>
        </w:rPr>
        <w:t>1</w:t>
      </w:r>
      <w:r w:rsidRPr="005310D2">
        <w:t>.</w:t>
      </w:r>
    </w:p>
    <w:p w14:paraId="090AC5B7" w14:textId="77777777" w:rsidR="005310D2" w:rsidRPr="005310D2" w:rsidRDefault="005310D2" w:rsidP="005310D2">
      <w:pPr>
        <w:rPr>
          <w:b/>
          <w:bCs/>
        </w:rPr>
      </w:pPr>
      <w:r w:rsidRPr="005310D2">
        <w:rPr>
          <w:b/>
          <w:bCs/>
        </w:rPr>
        <w:t>Increased Property Listings</w:t>
      </w:r>
    </w:p>
    <w:p w14:paraId="1D08A42E" w14:textId="77777777" w:rsidR="005310D2" w:rsidRDefault="005310D2" w:rsidP="005310D2">
      <w:r w:rsidRPr="005310D2">
        <w:t>The number of new property listings has risen by 11% year-on-year since Boxing Day, providing buyers with a broader selection of homes</w:t>
      </w:r>
      <w:r w:rsidRPr="005310D2">
        <w:rPr>
          <w:vertAlign w:val="superscript"/>
        </w:rPr>
        <w:t>1</w:t>
      </w:r>
      <w:r w:rsidRPr="005310D2">
        <w:t>. This influx has led to the highest number of properties available per estate agency branch for this time of year in a decade</w:t>
      </w:r>
      <w:r w:rsidRPr="005310D2">
        <w:rPr>
          <w:vertAlign w:val="superscript"/>
        </w:rPr>
        <w:t>1</w:t>
      </w:r>
      <w:r w:rsidRPr="005310D2">
        <w:t>. The increased supply is intensifying competition among sellers, who are being advised to price properties realistically to attract potential buyers</w:t>
      </w:r>
      <w:r w:rsidRPr="005310D2">
        <w:rPr>
          <w:vertAlign w:val="superscript"/>
        </w:rPr>
        <w:t>1</w:t>
      </w:r>
      <w:r w:rsidRPr="005310D2">
        <w:t>.</w:t>
      </w:r>
    </w:p>
    <w:p w14:paraId="4AF7A9ED" w14:textId="6F8F2FA1" w:rsidR="005310D2" w:rsidRPr="005310D2" w:rsidRDefault="005310D2" w:rsidP="005310D2">
      <w:r w:rsidRPr="005310D2">
        <w:rPr>
          <w:b/>
          <w:bCs/>
        </w:rPr>
        <w:t xml:space="preserve"> </w:t>
      </w:r>
      <w:r w:rsidRPr="005310D2">
        <w:rPr>
          <w:b/>
          <w:bCs/>
        </w:rPr>
        <w:t>Buyer Activity and Market Dynamics</w:t>
      </w:r>
    </w:p>
    <w:p w14:paraId="1A3EBB99" w14:textId="44E4B059" w:rsidR="005310D2" w:rsidRPr="005310D2" w:rsidRDefault="005310D2" w:rsidP="005310D2">
      <w:r w:rsidRPr="005310D2">
        <w:t>Buyer interest has also surged, with a 9% increase in inquiries to estate agents and an 11% rise in agreed sales compared to the same period last year</w:t>
      </w:r>
      <w:r w:rsidRPr="005310D2">
        <w:rPr>
          <w:vertAlign w:val="superscript"/>
        </w:rPr>
        <w:t>1</w:t>
      </w:r>
      <w:r w:rsidRPr="005310D2">
        <w:t>. This suggests that buyers are responding positively to greater property availability and expectations of improving mortgage rates</w:t>
      </w:r>
      <w:r w:rsidRPr="005310D2">
        <w:rPr>
          <w:vertAlign w:val="superscript"/>
        </w:rPr>
        <w:t>2</w:t>
      </w:r>
      <w:r w:rsidRPr="005310D2">
        <w:t>. However, the market remains sensitive to external factors, such as interest rate fluctuations and impending stamp duty changes, which may influence buyer behaviour later in the year</w:t>
      </w:r>
      <w:r w:rsidRPr="005310D2">
        <w:rPr>
          <w:vertAlign w:val="superscript"/>
        </w:rPr>
        <w:t>1</w:t>
      </w:r>
      <w:r w:rsidRPr="005310D2">
        <w:t>.</w:t>
      </w:r>
    </w:p>
    <w:p w14:paraId="0A4BD67F" w14:textId="59F7EAE0" w:rsidR="005310D2" w:rsidRPr="005310D2" w:rsidRDefault="005310D2" w:rsidP="005310D2">
      <w:r w:rsidRPr="005310D2">
        <w:t xml:space="preserve">Tim Bannister, Rightmove’s </w:t>
      </w:r>
      <w:r>
        <w:t>D</w:t>
      </w:r>
      <w:r w:rsidRPr="005310D2">
        <w:t xml:space="preserve">irector of </w:t>
      </w:r>
      <w:r>
        <w:t>P</w:t>
      </w:r>
      <w:r w:rsidRPr="005310D2">
        <w:t xml:space="preserve">roperty </w:t>
      </w:r>
      <w:r>
        <w:t>D</w:t>
      </w:r>
      <w:r w:rsidRPr="005310D2">
        <w:t>ata, highlighted that while the market is experiencing a buoyant start, sellers must remain pragmatic with pricing strategies</w:t>
      </w:r>
      <w:r w:rsidRPr="005310D2">
        <w:rPr>
          <w:vertAlign w:val="superscript"/>
        </w:rPr>
        <w:t>1</w:t>
      </w:r>
      <w:r w:rsidRPr="005310D2">
        <w:t>. Overpricing could deter potential buyers, particularly in a market where affordability continues to be a critical concern. Bannister emphasised that realistic pricing is key to ensuring successful transactions in the current competitive landscape</w:t>
      </w:r>
      <w:r w:rsidRPr="005310D2">
        <w:rPr>
          <w:vertAlign w:val="superscript"/>
        </w:rPr>
        <w:t>1</w:t>
      </w:r>
      <w:r w:rsidRPr="005310D2">
        <w:t>.</w:t>
      </w:r>
    </w:p>
    <w:p w14:paraId="66DF7A40" w14:textId="77777777" w:rsidR="005310D2" w:rsidRPr="005310D2" w:rsidRDefault="005310D2" w:rsidP="005310D2">
      <w:pPr>
        <w:rPr>
          <w:b/>
          <w:bCs/>
        </w:rPr>
      </w:pPr>
      <w:r w:rsidRPr="005310D2">
        <w:rPr>
          <w:b/>
          <w:bCs/>
        </w:rPr>
        <w:t>Conclusion</w:t>
      </w:r>
    </w:p>
    <w:p w14:paraId="2661D2C0" w14:textId="4E36DBA8" w:rsidR="005310D2" w:rsidRPr="005310D2" w:rsidRDefault="005310D2" w:rsidP="005310D2">
      <w:r w:rsidRPr="005310D2">
        <w:t xml:space="preserve">Early indicators for 2025 suggest a vibrant housing market driven by increased supply and active buyer participation. While more property options benefit buyers, </w:t>
      </w:r>
      <w:r w:rsidR="00410E5A">
        <w:t xml:space="preserve">it’s wise for sellers to adopt realistic pricing to help aid changes of a sale in such a busy marketplace. </w:t>
      </w:r>
      <w:r w:rsidRPr="005310D2">
        <w:t>With the market poised for growth, attention to economic factors like interest rates and policy changes will be crucial for both buyers and sellers as the year progresses.</w:t>
      </w:r>
    </w:p>
    <w:p w14:paraId="245A6C18" w14:textId="77777777" w:rsidR="00410E5A" w:rsidRDefault="00410E5A" w:rsidP="005310D2"/>
    <w:p w14:paraId="2E442815" w14:textId="3E7C30D8" w:rsidR="005310D2" w:rsidRPr="005310D2" w:rsidRDefault="00410E5A" w:rsidP="005310D2">
      <w:pPr>
        <w:rPr>
          <w:b/>
          <w:bCs/>
          <w:sz w:val="24"/>
          <w:szCs w:val="24"/>
          <w:u w:val="single"/>
        </w:rPr>
      </w:pPr>
      <w:r w:rsidRPr="00410E5A">
        <w:rPr>
          <w:b/>
          <w:bCs/>
          <w:sz w:val="24"/>
          <w:szCs w:val="24"/>
          <w:u w:val="single"/>
        </w:rPr>
        <w:t>Sources</w:t>
      </w:r>
    </w:p>
    <w:p w14:paraId="07C27D6E" w14:textId="1A6DFFE1" w:rsidR="005310D2" w:rsidRPr="005310D2" w:rsidRDefault="00410E5A" w:rsidP="005310D2">
      <w:pPr>
        <w:numPr>
          <w:ilvl w:val="0"/>
          <w:numId w:val="7"/>
        </w:numPr>
      </w:pPr>
      <w:r>
        <w:t xml:space="preserve">The Guardian (2025). </w:t>
      </w:r>
      <w:r w:rsidR="005310D2" w:rsidRPr="005310D2">
        <w:rPr>
          <w:i/>
          <w:iCs/>
        </w:rPr>
        <w:t>UK housing market ‘starts new year with a bang’, says Rightmove.</w:t>
      </w:r>
      <w:r>
        <w:t xml:space="preserve"> </w:t>
      </w:r>
      <w:r w:rsidR="005310D2" w:rsidRPr="005310D2">
        <w:t xml:space="preserve">Available </w:t>
      </w:r>
      <w:r>
        <w:t>at</w:t>
      </w:r>
      <w:r w:rsidR="005310D2" w:rsidRPr="005310D2">
        <w:t xml:space="preserve">: </w:t>
      </w:r>
      <w:hyperlink r:id="rId6" w:tgtFrame="_new" w:history="1">
        <w:r w:rsidR="005310D2" w:rsidRPr="005310D2">
          <w:rPr>
            <w:rStyle w:val="Hyperlink"/>
          </w:rPr>
          <w:t>https://www.theguardian.com/business/2025/jan/20/homes-uk-housing-market-new-year-rightmove</w:t>
        </w:r>
      </w:hyperlink>
      <w:r>
        <w:t xml:space="preserve"> [Accessed 20 Jan 2025]</w:t>
      </w:r>
    </w:p>
    <w:p w14:paraId="174BD1F5" w14:textId="5682ED77" w:rsidR="00AF1E61" w:rsidRDefault="005310D2" w:rsidP="00410E5A">
      <w:pPr>
        <w:numPr>
          <w:ilvl w:val="0"/>
          <w:numId w:val="7"/>
        </w:numPr>
      </w:pPr>
      <w:r w:rsidRPr="005310D2">
        <w:lastRenderedPageBreak/>
        <w:t>Rightmove</w:t>
      </w:r>
      <w:r w:rsidR="00410E5A">
        <w:t xml:space="preserve"> (2024) </w:t>
      </w:r>
      <w:r w:rsidR="00410E5A" w:rsidRPr="00410E5A">
        <w:rPr>
          <w:i/>
          <w:iCs/>
        </w:rPr>
        <w:t>Rightmove’s 2025 Housing Market Forecast.</w:t>
      </w:r>
      <w:r w:rsidR="00410E5A">
        <w:t xml:space="preserve"> Available at: </w:t>
      </w:r>
      <w:hyperlink r:id="rId7" w:history="1">
        <w:r w:rsidR="00410E5A" w:rsidRPr="005310D2">
          <w:rPr>
            <w:rStyle w:val="Hyperlink"/>
          </w:rPr>
          <w:t>https://www.rightmove.co.uk/press-centre/rightmoves-2025-housing-market-forecast/</w:t>
        </w:r>
      </w:hyperlink>
      <w:r w:rsidR="00410E5A">
        <w:t xml:space="preserve"> [Accessed 20 Jan 2025]</w:t>
      </w:r>
    </w:p>
    <w:p w14:paraId="59C62496" w14:textId="77777777" w:rsidR="00B36BCA" w:rsidRDefault="00B36BCA" w:rsidP="0023446D"/>
    <w:p w14:paraId="3A3DA51D" w14:textId="62F8C722" w:rsidR="00954254" w:rsidRPr="00411F85" w:rsidRDefault="00954254" w:rsidP="00954254">
      <w:pPr>
        <w:rPr>
          <w:rFonts w:cs="Calibri"/>
          <w:i/>
          <w:iCs/>
        </w:rPr>
      </w:pPr>
      <w:r w:rsidRPr="00411F85">
        <w:rPr>
          <w:rFonts w:cs="Calibri"/>
          <w:i/>
          <w:iCs/>
        </w:rPr>
        <w:t xml:space="preserve">All the information in this article is correct as of the publish date </w:t>
      </w:r>
      <w:r>
        <w:rPr>
          <w:rFonts w:cs="Calibri"/>
          <w:i/>
          <w:iCs/>
        </w:rPr>
        <w:t>30</w:t>
      </w:r>
      <w:r w:rsidRPr="00954254">
        <w:rPr>
          <w:rFonts w:cs="Calibri"/>
          <w:i/>
          <w:iCs/>
          <w:vertAlign w:val="superscript"/>
        </w:rPr>
        <w:t>th</w:t>
      </w:r>
      <w:r>
        <w:rPr>
          <w:rFonts w:cs="Calibri"/>
          <w:i/>
          <w:iCs/>
        </w:rPr>
        <w:t xml:space="preserve"> January 2025</w:t>
      </w:r>
      <w:r w:rsidRPr="00411F85">
        <w:rPr>
          <w:rFonts w:cs="Calibri"/>
          <w:i/>
          <w:iCs/>
        </w:rPr>
        <w:t xml:space="preserve">.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69F4282B" w14:textId="77777777" w:rsidR="00954254" w:rsidRPr="00411F85" w:rsidRDefault="00954254" w:rsidP="00954254">
      <w:pPr>
        <w:rPr>
          <w:rFonts w:cs="Calibri"/>
          <w:i/>
          <w:iCs/>
        </w:rPr>
      </w:pPr>
      <w:r w:rsidRPr="00411F85">
        <w:rPr>
          <w:rFonts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56B5E345" w14:textId="77777777" w:rsidR="00954254" w:rsidRPr="00C76CDA" w:rsidRDefault="00954254" w:rsidP="00954254">
      <w:pPr>
        <w:rPr>
          <w:rFonts w:cs="Calibri"/>
        </w:rPr>
      </w:pPr>
    </w:p>
    <w:p w14:paraId="1660B4FB" w14:textId="77777777" w:rsidR="00954254" w:rsidRDefault="00954254" w:rsidP="0023446D"/>
    <w:sectPr w:rsidR="009542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6BD7"/>
    <w:multiLevelType w:val="multilevel"/>
    <w:tmpl w:val="CB68E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106FD9"/>
    <w:multiLevelType w:val="multilevel"/>
    <w:tmpl w:val="3D7C2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FF078E"/>
    <w:multiLevelType w:val="multilevel"/>
    <w:tmpl w:val="F40C1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B44CC0"/>
    <w:multiLevelType w:val="hybridMultilevel"/>
    <w:tmpl w:val="491E8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50657D"/>
    <w:multiLevelType w:val="hybridMultilevel"/>
    <w:tmpl w:val="801AF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C25796"/>
    <w:multiLevelType w:val="hybridMultilevel"/>
    <w:tmpl w:val="B64E7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CC70A3"/>
    <w:multiLevelType w:val="hybridMultilevel"/>
    <w:tmpl w:val="C298D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9840318">
    <w:abstractNumId w:val="5"/>
  </w:num>
  <w:num w:numId="2" w16cid:durableId="1172528385">
    <w:abstractNumId w:val="4"/>
  </w:num>
  <w:num w:numId="3" w16cid:durableId="1408259638">
    <w:abstractNumId w:val="3"/>
  </w:num>
  <w:num w:numId="4" w16cid:durableId="580796762">
    <w:abstractNumId w:val="6"/>
  </w:num>
  <w:num w:numId="5" w16cid:durableId="1074544159">
    <w:abstractNumId w:val="2"/>
  </w:num>
  <w:num w:numId="6" w16cid:durableId="778184228">
    <w:abstractNumId w:val="0"/>
  </w:num>
  <w:num w:numId="7" w16cid:durableId="1403407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6D"/>
    <w:rsid w:val="0014707A"/>
    <w:rsid w:val="001D15AB"/>
    <w:rsid w:val="0021755A"/>
    <w:rsid w:val="0023446D"/>
    <w:rsid w:val="00326AC8"/>
    <w:rsid w:val="00370747"/>
    <w:rsid w:val="00410E5A"/>
    <w:rsid w:val="004339EF"/>
    <w:rsid w:val="005310D2"/>
    <w:rsid w:val="00621D4D"/>
    <w:rsid w:val="006C7FC0"/>
    <w:rsid w:val="00804FEE"/>
    <w:rsid w:val="008808D2"/>
    <w:rsid w:val="00954254"/>
    <w:rsid w:val="009E2C32"/>
    <w:rsid w:val="00A00B89"/>
    <w:rsid w:val="00A712AA"/>
    <w:rsid w:val="00AE645A"/>
    <w:rsid w:val="00AF1E61"/>
    <w:rsid w:val="00B36BCA"/>
    <w:rsid w:val="00DA4DAD"/>
    <w:rsid w:val="00DB08A4"/>
    <w:rsid w:val="00DC64B9"/>
    <w:rsid w:val="00FA12DC"/>
    <w:rsid w:val="00FE2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B307"/>
  <w15:chartTrackingRefBased/>
  <w15:docId w15:val="{4AA8A5CE-D895-42B0-8FFE-5B818DBE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4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4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4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44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44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44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44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44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4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4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4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4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44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44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44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44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44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4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4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4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446D"/>
    <w:pPr>
      <w:spacing w:before="160"/>
      <w:jc w:val="center"/>
    </w:pPr>
    <w:rPr>
      <w:i/>
      <w:iCs/>
      <w:color w:val="404040" w:themeColor="text1" w:themeTint="BF"/>
    </w:rPr>
  </w:style>
  <w:style w:type="character" w:customStyle="1" w:styleId="QuoteChar">
    <w:name w:val="Quote Char"/>
    <w:basedOn w:val="DefaultParagraphFont"/>
    <w:link w:val="Quote"/>
    <w:uiPriority w:val="29"/>
    <w:rsid w:val="0023446D"/>
    <w:rPr>
      <w:i/>
      <w:iCs/>
      <w:color w:val="404040" w:themeColor="text1" w:themeTint="BF"/>
    </w:rPr>
  </w:style>
  <w:style w:type="paragraph" w:styleId="ListParagraph">
    <w:name w:val="List Paragraph"/>
    <w:basedOn w:val="Normal"/>
    <w:uiPriority w:val="34"/>
    <w:qFormat/>
    <w:rsid w:val="0023446D"/>
    <w:pPr>
      <w:ind w:left="720"/>
      <w:contextualSpacing/>
    </w:pPr>
  </w:style>
  <w:style w:type="character" w:styleId="IntenseEmphasis">
    <w:name w:val="Intense Emphasis"/>
    <w:basedOn w:val="DefaultParagraphFont"/>
    <w:uiPriority w:val="21"/>
    <w:qFormat/>
    <w:rsid w:val="0023446D"/>
    <w:rPr>
      <w:i/>
      <w:iCs/>
      <w:color w:val="0F4761" w:themeColor="accent1" w:themeShade="BF"/>
    </w:rPr>
  </w:style>
  <w:style w:type="paragraph" w:styleId="IntenseQuote">
    <w:name w:val="Intense Quote"/>
    <w:basedOn w:val="Normal"/>
    <w:next w:val="Normal"/>
    <w:link w:val="IntenseQuoteChar"/>
    <w:uiPriority w:val="30"/>
    <w:qFormat/>
    <w:rsid w:val="00234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46D"/>
    <w:rPr>
      <w:i/>
      <w:iCs/>
      <w:color w:val="0F4761" w:themeColor="accent1" w:themeShade="BF"/>
    </w:rPr>
  </w:style>
  <w:style w:type="character" w:styleId="IntenseReference">
    <w:name w:val="Intense Reference"/>
    <w:basedOn w:val="DefaultParagraphFont"/>
    <w:uiPriority w:val="32"/>
    <w:qFormat/>
    <w:rsid w:val="0023446D"/>
    <w:rPr>
      <w:b/>
      <w:bCs/>
      <w:smallCaps/>
      <w:color w:val="0F4761" w:themeColor="accent1" w:themeShade="BF"/>
      <w:spacing w:val="5"/>
    </w:rPr>
  </w:style>
  <w:style w:type="character" w:styleId="Hyperlink">
    <w:name w:val="Hyperlink"/>
    <w:basedOn w:val="DefaultParagraphFont"/>
    <w:uiPriority w:val="99"/>
    <w:unhideWhenUsed/>
    <w:rsid w:val="0023446D"/>
    <w:rPr>
      <w:color w:val="467886" w:themeColor="hyperlink"/>
      <w:u w:val="single"/>
    </w:rPr>
  </w:style>
  <w:style w:type="character" w:styleId="UnresolvedMention">
    <w:name w:val="Unresolved Mention"/>
    <w:basedOn w:val="DefaultParagraphFont"/>
    <w:uiPriority w:val="99"/>
    <w:semiHidden/>
    <w:unhideWhenUsed/>
    <w:rsid w:val="0023446D"/>
    <w:rPr>
      <w:color w:val="605E5C"/>
      <w:shd w:val="clear" w:color="auto" w:fill="E1DFDD"/>
    </w:rPr>
  </w:style>
  <w:style w:type="character" w:styleId="FollowedHyperlink">
    <w:name w:val="FollowedHyperlink"/>
    <w:basedOn w:val="DefaultParagraphFont"/>
    <w:uiPriority w:val="99"/>
    <w:semiHidden/>
    <w:unhideWhenUsed/>
    <w:rsid w:val="006C7F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7029">
      <w:bodyDiv w:val="1"/>
      <w:marLeft w:val="0"/>
      <w:marRight w:val="0"/>
      <w:marTop w:val="0"/>
      <w:marBottom w:val="0"/>
      <w:divBdr>
        <w:top w:val="none" w:sz="0" w:space="0" w:color="auto"/>
        <w:left w:val="none" w:sz="0" w:space="0" w:color="auto"/>
        <w:bottom w:val="none" w:sz="0" w:space="0" w:color="auto"/>
        <w:right w:val="none" w:sz="0" w:space="0" w:color="auto"/>
      </w:divBdr>
    </w:div>
    <w:div w:id="145899407">
      <w:bodyDiv w:val="1"/>
      <w:marLeft w:val="0"/>
      <w:marRight w:val="0"/>
      <w:marTop w:val="0"/>
      <w:marBottom w:val="0"/>
      <w:divBdr>
        <w:top w:val="none" w:sz="0" w:space="0" w:color="auto"/>
        <w:left w:val="none" w:sz="0" w:space="0" w:color="auto"/>
        <w:bottom w:val="none" w:sz="0" w:space="0" w:color="auto"/>
        <w:right w:val="none" w:sz="0" w:space="0" w:color="auto"/>
      </w:divBdr>
    </w:div>
    <w:div w:id="415900282">
      <w:bodyDiv w:val="1"/>
      <w:marLeft w:val="0"/>
      <w:marRight w:val="0"/>
      <w:marTop w:val="0"/>
      <w:marBottom w:val="0"/>
      <w:divBdr>
        <w:top w:val="none" w:sz="0" w:space="0" w:color="auto"/>
        <w:left w:val="none" w:sz="0" w:space="0" w:color="auto"/>
        <w:bottom w:val="none" w:sz="0" w:space="0" w:color="auto"/>
        <w:right w:val="none" w:sz="0" w:space="0" w:color="auto"/>
      </w:divBdr>
    </w:div>
    <w:div w:id="784420287">
      <w:bodyDiv w:val="1"/>
      <w:marLeft w:val="0"/>
      <w:marRight w:val="0"/>
      <w:marTop w:val="0"/>
      <w:marBottom w:val="0"/>
      <w:divBdr>
        <w:top w:val="none" w:sz="0" w:space="0" w:color="auto"/>
        <w:left w:val="none" w:sz="0" w:space="0" w:color="auto"/>
        <w:bottom w:val="none" w:sz="0" w:space="0" w:color="auto"/>
        <w:right w:val="none" w:sz="0" w:space="0" w:color="auto"/>
      </w:divBdr>
    </w:div>
    <w:div w:id="832182218">
      <w:bodyDiv w:val="1"/>
      <w:marLeft w:val="0"/>
      <w:marRight w:val="0"/>
      <w:marTop w:val="0"/>
      <w:marBottom w:val="0"/>
      <w:divBdr>
        <w:top w:val="none" w:sz="0" w:space="0" w:color="auto"/>
        <w:left w:val="none" w:sz="0" w:space="0" w:color="auto"/>
        <w:bottom w:val="none" w:sz="0" w:space="0" w:color="auto"/>
        <w:right w:val="none" w:sz="0" w:space="0" w:color="auto"/>
      </w:divBdr>
    </w:div>
    <w:div w:id="846166264">
      <w:bodyDiv w:val="1"/>
      <w:marLeft w:val="0"/>
      <w:marRight w:val="0"/>
      <w:marTop w:val="0"/>
      <w:marBottom w:val="0"/>
      <w:divBdr>
        <w:top w:val="none" w:sz="0" w:space="0" w:color="auto"/>
        <w:left w:val="none" w:sz="0" w:space="0" w:color="auto"/>
        <w:bottom w:val="none" w:sz="0" w:space="0" w:color="auto"/>
        <w:right w:val="none" w:sz="0" w:space="0" w:color="auto"/>
      </w:divBdr>
    </w:div>
    <w:div w:id="891234781">
      <w:bodyDiv w:val="1"/>
      <w:marLeft w:val="0"/>
      <w:marRight w:val="0"/>
      <w:marTop w:val="0"/>
      <w:marBottom w:val="0"/>
      <w:divBdr>
        <w:top w:val="none" w:sz="0" w:space="0" w:color="auto"/>
        <w:left w:val="none" w:sz="0" w:space="0" w:color="auto"/>
        <w:bottom w:val="none" w:sz="0" w:space="0" w:color="auto"/>
        <w:right w:val="none" w:sz="0" w:space="0" w:color="auto"/>
      </w:divBdr>
    </w:div>
    <w:div w:id="1044983424">
      <w:bodyDiv w:val="1"/>
      <w:marLeft w:val="0"/>
      <w:marRight w:val="0"/>
      <w:marTop w:val="0"/>
      <w:marBottom w:val="0"/>
      <w:divBdr>
        <w:top w:val="none" w:sz="0" w:space="0" w:color="auto"/>
        <w:left w:val="none" w:sz="0" w:space="0" w:color="auto"/>
        <w:bottom w:val="none" w:sz="0" w:space="0" w:color="auto"/>
        <w:right w:val="none" w:sz="0" w:space="0" w:color="auto"/>
      </w:divBdr>
    </w:div>
    <w:div w:id="1055157217">
      <w:bodyDiv w:val="1"/>
      <w:marLeft w:val="0"/>
      <w:marRight w:val="0"/>
      <w:marTop w:val="0"/>
      <w:marBottom w:val="0"/>
      <w:divBdr>
        <w:top w:val="none" w:sz="0" w:space="0" w:color="auto"/>
        <w:left w:val="none" w:sz="0" w:space="0" w:color="auto"/>
        <w:bottom w:val="none" w:sz="0" w:space="0" w:color="auto"/>
        <w:right w:val="none" w:sz="0" w:space="0" w:color="auto"/>
      </w:divBdr>
    </w:div>
    <w:div w:id="1116754758">
      <w:bodyDiv w:val="1"/>
      <w:marLeft w:val="0"/>
      <w:marRight w:val="0"/>
      <w:marTop w:val="0"/>
      <w:marBottom w:val="0"/>
      <w:divBdr>
        <w:top w:val="none" w:sz="0" w:space="0" w:color="auto"/>
        <w:left w:val="none" w:sz="0" w:space="0" w:color="auto"/>
        <w:bottom w:val="none" w:sz="0" w:space="0" w:color="auto"/>
        <w:right w:val="none" w:sz="0" w:space="0" w:color="auto"/>
      </w:divBdr>
    </w:div>
    <w:div w:id="1366904380">
      <w:bodyDiv w:val="1"/>
      <w:marLeft w:val="0"/>
      <w:marRight w:val="0"/>
      <w:marTop w:val="0"/>
      <w:marBottom w:val="0"/>
      <w:divBdr>
        <w:top w:val="none" w:sz="0" w:space="0" w:color="auto"/>
        <w:left w:val="none" w:sz="0" w:space="0" w:color="auto"/>
        <w:bottom w:val="none" w:sz="0" w:space="0" w:color="auto"/>
        <w:right w:val="none" w:sz="0" w:space="0" w:color="auto"/>
      </w:divBdr>
    </w:div>
    <w:div w:id="1466703423">
      <w:bodyDiv w:val="1"/>
      <w:marLeft w:val="0"/>
      <w:marRight w:val="0"/>
      <w:marTop w:val="0"/>
      <w:marBottom w:val="0"/>
      <w:divBdr>
        <w:top w:val="none" w:sz="0" w:space="0" w:color="auto"/>
        <w:left w:val="none" w:sz="0" w:space="0" w:color="auto"/>
        <w:bottom w:val="none" w:sz="0" w:space="0" w:color="auto"/>
        <w:right w:val="none" w:sz="0" w:space="0" w:color="auto"/>
      </w:divBdr>
    </w:div>
    <w:div w:id="1503007746">
      <w:bodyDiv w:val="1"/>
      <w:marLeft w:val="0"/>
      <w:marRight w:val="0"/>
      <w:marTop w:val="0"/>
      <w:marBottom w:val="0"/>
      <w:divBdr>
        <w:top w:val="none" w:sz="0" w:space="0" w:color="auto"/>
        <w:left w:val="none" w:sz="0" w:space="0" w:color="auto"/>
        <w:bottom w:val="none" w:sz="0" w:space="0" w:color="auto"/>
        <w:right w:val="none" w:sz="0" w:space="0" w:color="auto"/>
      </w:divBdr>
    </w:div>
    <w:div w:id="1512455601">
      <w:bodyDiv w:val="1"/>
      <w:marLeft w:val="0"/>
      <w:marRight w:val="0"/>
      <w:marTop w:val="0"/>
      <w:marBottom w:val="0"/>
      <w:divBdr>
        <w:top w:val="none" w:sz="0" w:space="0" w:color="auto"/>
        <w:left w:val="none" w:sz="0" w:space="0" w:color="auto"/>
        <w:bottom w:val="none" w:sz="0" w:space="0" w:color="auto"/>
        <w:right w:val="none" w:sz="0" w:space="0" w:color="auto"/>
      </w:divBdr>
    </w:div>
    <w:div w:id="1701589111">
      <w:bodyDiv w:val="1"/>
      <w:marLeft w:val="0"/>
      <w:marRight w:val="0"/>
      <w:marTop w:val="0"/>
      <w:marBottom w:val="0"/>
      <w:divBdr>
        <w:top w:val="none" w:sz="0" w:space="0" w:color="auto"/>
        <w:left w:val="none" w:sz="0" w:space="0" w:color="auto"/>
        <w:bottom w:val="none" w:sz="0" w:space="0" w:color="auto"/>
        <w:right w:val="none" w:sz="0" w:space="0" w:color="auto"/>
      </w:divBdr>
    </w:div>
    <w:div w:id="1710715244">
      <w:bodyDiv w:val="1"/>
      <w:marLeft w:val="0"/>
      <w:marRight w:val="0"/>
      <w:marTop w:val="0"/>
      <w:marBottom w:val="0"/>
      <w:divBdr>
        <w:top w:val="none" w:sz="0" w:space="0" w:color="auto"/>
        <w:left w:val="none" w:sz="0" w:space="0" w:color="auto"/>
        <w:bottom w:val="none" w:sz="0" w:space="0" w:color="auto"/>
        <w:right w:val="none" w:sz="0" w:space="0" w:color="auto"/>
      </w:divBdr>
    </w:div>
    <w:div w:id="1743915196">
      <w:bodyDiv w:val="1"/>
      <w:marLeft w:val="0"/>
      <w:marRight w:val="0"/>
      <w:marTop w:val="0"/>
      <w:marBottom w:val="0"/>
      <w:divBdr>
        <w:top w:val="none" w:sz="0" w:space="0" w:color="auto"/>
        <w:left w:val="none" w:sz="0" w:space="0" w:color="auto"/>
        <w:bottom w:val="none" w:sz="0" w:space="0" w:color="auto"/>
        <w:right w:val="none" w:sz="0" w:space="0" w:color="auto"/>
      </w:divBdr>
    </w:div>
    <w:div w:id="1975523723">
      <w:bodyDiv w:val="1"/>
      <w:marLeft w:val="0"/>
      <w:marRight w:val="0"/>
      <w:marTop w:val="0"/>
      <w:marBottom w:val="0"/>
      <w:divBdr>
        <w:top w:val="none" w:sz="0" w:space="0" w:color="auto"/>
        <w:left w:val="none" w:sz="0" w:space="0" w:color="auto"/>
        <w:bottom w:val="none" w:sz="0" w:space="0" w:color="auto"/>
        <w:right w:val="none" w:sz="0" w:space="0" w:color="auto"/>
      </w:divBdr>
    </w:div>
    <w:div w:id="2072995710">
      <w:bodyDiv w:val="1"/>
      <w:marLeft w:val="0"/>
      <w:marRight w:val="0"/>
      <w:marTop w:val="0"/>
      <w:marBottom w:val="0"/>
      <w:divBdr>
        <w:top w:val="none" w:sz="0" w:space="0" w:color="auto"/>
        <w:left w:val="none" w:sz="0" w:space="0" w:color="auto"/>
        <w:bottom w:val="none" w:sz="0" w:space="0" w:color="auto"/>
        <w:right w:val="none" w:sz="0" w:space="0" w:color="auto"/>
      </w:divBdr>
    </w:div>
    <w:div w:id="214230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ightmove.co.uk/press-centre/rightmoves-2025-housing-market-forecas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heguardian.com/business/2025/jan/20/homes-uk-housing-market-new-year-rightmove"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C7D493-94C3-4F9F-92A4-48F6DAAB7BD5}">
  <ds:schemaRefs>
    <ds:schemaRef ds:uri="http://schemas.openxmlformats.org/officeDocument/2006/bibliography"/>
  </ds:schemaRefs>
</ds:datastoreItem>
</file>

<file path=customXml/itemProps2.xml><?xml version="1.0" encoding="utf-8"?>
<ds:datastoreItem xmlns:ds="http://schemas.openxmlformats.org/officeDocument/2006/customXml" ds:itemID="{4CD04CB5-D1B0-4DD5-A825-1210A1C6140E}"/>
</file>

<file path=customXml/itemProps3.xml><?xml version="1.0" encoding="utf-8"?>
<ds:datastoreItem xmlns:ds="http://schemas.openxmlformats.org/officeDocument/2006/customXml" ds:itemID="{86DB0838-6123-440D-9E5A-83E1CF666314}"/>
</file>

<file path=customXml/itemProps4.xml><?xml version="1.0" encoding="utf-8"?>
<ds:datastoreItem xmlns:ds="http://schemas.openxmlformats.org/officeDocument/2006/customXml" ds:itemID="{5599B461-CE68-4231-A405-91C3FEB60164}"/>
</file>

<file path=docProps/app.xml><?xml version="1.0" encoding="utf-8"?>
<Properties xmlns="http://schemas.openxmlformats.org/officeDocument/2006/extended-properties" xmlns:vt="http://schemas.openxmlformats.org/officeDocument/2006/docPropsVTypes">
  <Template>Normal</Template>
  <TotalTime>68</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7</cp:revision>
  <dcterms:created xsi:type="dcterms:W3CDTF">2025-01-15T14:49:00Z</dcterms:created>
  <dcterms:modified xsi:type="dcterms:W3CDTF">2025-01-20T15:48:00Z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