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90BD" w14:textId="77777777" w:rsidR="00770A5E" w:rsidRPr="00770A5E" w:rsidRDefault="00770A5E" w:rsidP="00770A5E">
      <w:pPr>
        <w:pStyle w:val="elementtoproof"/>
        <w:rPr>
          <w:sz w:val="32"/>
          <w:szCs w:val="32"/>
        </w:rPr>
      </w:pPr>
      <w:r w:rsidRPr="00770A5E">
        <w:rPr>
          <w:b/>
          <w:bCs/>
          <w:color w:val="000000"/>
          <w:sz w:val="36"/>
          <w:szCs w:val="36"/>
        </w:rPr>
        <w:t>Navigating 2024: A Comprehensive Guide for Landlords </w:t>
      </w:r>
    </w:p>
    <w:p w14:paraId="43A06B1E" w14:textId="77777777" w:rsidR="00770A5E" w:rsidRDefault="00770A5E" w:rsidP="00770A5E">
      <w:pPr>
        <w:pStyle w:val="NormalWeb"/>
      </w:pPr>
      <w:r>
        <w:rPr>
          <w:color w:val="000000"/>
          <w:sz w:val="24"/>
          <w:szCs w:val="24"/>
        </w:rPr>
        <w:t> </w:t>
      </w:r>
    </w:p>
    <w:p w14:paraId="7C3A2A2C" w14:textId="4ABDA3D7" w:rsidR="00770A5E" w:rsidRDefault="00770A5E" w:rsidP="00770A5E">
      <w:pPr>
        <w:pStyle w:val="NormalWeb"/>
      </w:pPr>
      <w:r>
        <w:rPr>
          <w:color w:val="000000"/>
          <w:sz w:val="24"/>
          <w:szCs w:val="24"/>
        </w:rPr>
        <w:t>2024 promises to be an eventful year for hands-on landlords, with several significant developments on the horizon. The potential progression of the Renters (Reform) Bill through Parliament, a crucial budget release in March, and the likelihood of a General Election are all events that could reshape the landscape of property management significantly</w:t>
      </w:r>
      <w:r w:rsidR="00FC00C8" w:rsidRPr="00FC00C8">
        <w:rPr>
          <w:color w:val="000000"/>
          <w:sz w:val="24"/>
          <w:szCs w:val="24"/>
          <w:vertAlign w:val="superscript"/>
        </w:rPr>
        <w:t>1</w:t>
      </w:r>
      <w:r>
        <w:rPr>
          <w:color w:val="000000"/>
          <w:sz w:val="24"/>
          <w:szCs w:val="24"/>
        </w:rPr>
        <w:t>. </w:t>
      </w:r>
    </w:p>
    <w:p w14:paraId="5E70D6BD" w14:textId="77777777" w:rsidR="00770A5E" w:rsidRDefault="00770A5E" w:rsidP="00770A5E">
      <w:pPr>
        <w:pStyle w:val="NormalWeb"/>
      </w:pPr>
      <w:r>
        <w:rPr>
          <w:color w:val="000000"/>
          <w:sz w:val="24"/>
          <w:szCs w:val="24"/>
        </w:rPr>
        <w:t> </w:t>
      </w:r>
    </w:p>
    <w:p w14:paraId="29EAFB23" w14:textId="75079067" w:rsidR="00770A5E" w:rsidRDefault="00770A5E" w:rsidP="00770A5E">
      <w:pPr>
        <w:pStyle w:val="NormalWeb"/>
      </w:pPr>
      <w:r>
        <w:rPr>
          <w:color w:val="000000"/>
          <w:sz w:val="24"/>
          <w:szCs w:val="24"/>
        </w:rPr>
        <w:t xml:space="preserve">As the </w:t>
      </w:r>
      <w:r w:rsidR="00FC00C8">
        <w:rPr>
          <w:color w:val="000000"/>
          <w:sz w:val="24"/>
          <w:szCs w:val="24"/>
        </w:rPr>
        <w:t>Government</w:t>
      </w:r>
      <w:r>
        <w:rPr>
          <w:color w:val="000000"/>
          <w:sz w:val="24"/>
          <w:szCs w:val="24"/>
        </w:rPr>
        <w:t xml:space="preserve"> continue to reform the private rented sector, it's essential for landlords to stay informed about potential policy shifts, especially </w:t>
      </w:r>
      <w:r w:rsidR="00FC00C8">
        <w:rPr>
          <w:color w:val="000000"/>
          <w:sz w:val="24"/>
          <w:szCs w:val="24"/>
        </w:rPr>
        <w:t>if there is a change in Government later this year.</w:t>
      </w:r>
      <w:r>
        <w:rPr>
          <w:color w:val="000000"/>
          <w:sz w:val="24"/>
          <w:szCs w:val="24"/>
        </w:rPr>
        <w:t xml:space="preserve"> Understanding these changes and preparing accordingly will be crucial for effective property management and investment decisions. </w:t>
      </w:r>
    </w:p>
    <w:p w14:paraId="36B12576" w14:textId="77777777" w:rsidR="00770A5E" w:rsidRDefault="00770A5E" w:rsidP="00770A5E">
      <w:pPr>
        <w:pStyle w:val="NormalWeb"/>
      </w:pPr>
      <w:r>
        <w:rPr>
          <w:color w:val="000000"/>
          <w:sz w:val="24"/>
          <w:szCs w:val="24"/>
        </w:rPr>
        <w:t> </w:t>
      </w:r>
    </w:p>
    <w:p w14:paraId="44F6FF1A" w14:textId="77777777" w:rsidR="00770A5E" w:rsidRDefault="00770A5E" w:rsidP="00770A5E">
      <w:pPr>
        <w:pStyle w:val="NormalWeb"/>
      </w:pPr>
      <w:r>
        <w:rPr>
          <w:b/>
          <w:bCs/>
          <w:color w:val="000000"/>
          <w:sz w:val="24"/>
          <w:szCs w:val="24"/>
        </w:rPr>
        <w:t>Mortgage Rates: An Opportunity for Landlords </w:t>
      </w:r>
    </w:p>
    <w:p w14:paraId="52A55D1D" w14:textId="77777777" w:rsidR="00770A5E" w:rsidRDefault="00770A5E" w:rsidP="00770A5E">
      <w:pPr>
        <w:pStyle w:val="NormalWeb"/>
      </w:pPr>
      <w:r>
        <w:rPr>
          <w:color w:val="000000"/>
          <w:sz w:val="24"/>
          <w:szCs w:val="24"/>
        </w:rPr>
        <w:t> </w:t>
      </w:r>
    </w:p>
    <w:p w14:paraId="2CF2051E" w14:textId="072D8ECE" w:rsidR="00770A5E" w:rsidRDefault="00770A5E" w:rsidP="00770A5E">
      <w:pPr>
        <w:pStyle w:val="NormalWeb"/>
      </w:pPr>
      <w:r>
        <w:rPr>
          <w:color w:val="000000"/>
          <w:sz w:val="24"/>
          <w:szCs w:val="24"/>
        </w:rPr>
        <w:t>The forecasted decline in inflation</w:t>
      </w:r>
      <w:r w:rsidR="00634886" w:rsidRPr="00634886">
        <w:rPr>
          <w:color w:val="000000"/>
          <w:sz w:val="24"/>
          <w:szCs w:val="24"/>
          <w:vertAlign w:val="superscript"/>
        </w:rPr>
        <w:t>2</w:t>
      </w:r>
      <w:r>
        <w:rPr>
          <w:color w:val="000000"/>
          <w:sz w:val="24"/>
          <w:szCs w:val="24"/>
        </w:rPr>
        <w:t xml:space="preserve"> and the base rate suggests a positive outlook for landlords. With Capital Economics projecting a base rate decrease to 4.75% in 2025, landlords looking to remortgage may find more favourable rates. This environment could also encourage new investments in the property sector</w:t>
      </w:r>
      <w:r w:rsidR="00634886" w:rsidRPr="00634886">
        <w:rPr>
          <w:color w:val="000000"/>
          <w:sz w:val="24"/>
          <w:szCs w:val="24"/>
          <w:vertAlign w:val="superscript"/>
        </w:rPr>
        <w:t>1</w:t>
      </w:r>
      <w:r>
        <w:rPr>
          <w:color w:val="000000"/>
          <w:sz w:val="24"/>
          <w:szCs w:val="24"/>
        </w:rPr>
        <w:t>. </w:t>
      </w:r>
    </w:p>
    <w:p w14:paraId="5BBB12BC" w14:textId="77777777" w:rsidR="00770A5E" w:rsidRDefault="00770A5E" w:rsidP="00770A5E">
      <w:pPr>
        <w:pStyle w:val="NormalWeb"/>
      </w:pPr>
      <w:r>
        <w:rPr>
          <w:color w:val="000000"/>
          <w:sz w:val="24"/>
          <w:szCs w:val="24"/>
        </w:rPr>
        <w:t> </w:t>
      </w:r>
    </w:p>
    <w:p w14:paraId="32CA9109" w14:textId="77777777" w:rsidR="00770A5E" w:rsidRDefault="00770A5E" w:rsidP="00770A5E">
      <w:pPr>
        <w:pStyle w:val="NormalWeb"/>
      </w:pPr>
      <w:r>
        <w:rPr>
          <w:b/>
          <w:bCs/>
          <w:color w:val="000000"/>
          <w:sz w:val="24"/>
          <w:szCs w:val="24"/>
        </w:rPr>
        <w:t>Tax Changes: Implications for Landlords </w:t>
      </w:r>
    </w:p>
    <w:p w14:paraId="202ADED6" w14:textId="77777777" w:rsidR="00770A5E" w:rsidRDefault="00770A5E" w:rsidP="00770A5E">
      <w:pPr>
        <w:pStyle w:val="NormalWeb"/>
      </w:pPr>
      <w:r>
        <w:rPr>
          <w:color w:val="000000"/>
          <w:sz w:val="24"/>
          <w:szCs w:val="24"/>
        </w:rPr>
        <w:t> </w:t>
      </w:r>
    </w:p>
    <w:p w14:paraId="27B3860B" w14:textId="277961FE" w:rsidR="00770A5E" w:rsidRDefault="00770A5E" w:rsidP="00770A5E">
      <w:pPr>
        <w:pStyle w:val="NormalWeb"/>
      </w:pPr>
      <w:r>
        <w:rPr>
          <w:color w:val="000000"/>
          <w:sz w:val="24"/>
          <w:szCs w:val="24"/>
        </w:rPr>
        <w:t>April brings changes that could affect landlords financially. The elimination of Class 2 National Insurance and the reduction of Class 4 contributions are beneficial, but the freeze on Income Tax bands and the Personal Allowance means landlords with increased rents may face higher taxes on their income</w:t>
      </w:r>
      <w:r w:rsidR="00C12CA3" w:rsidRPr="00C12CA3">
        <w:rPr>
          <w:color w:val="000000"/>
          <w:sz w:val="24"/>
          <w:szCs w:val="24"/>
          <w:vertAlign w:val="superscript"/>
        </w:rPr>
        <w:t>1</w:t>
      </w:r>
      <w:r>
        <w:rPr>
          <w:color w:val="000000"/>
          <w:sz w:val="24"/>
          <w:szCs w:val="24"/>
        </w:rPr>
        <w:t>. </w:t>
      </w:r>
    </w:p>
    <w:p w14:paraId="2D2A26B8" w14:textId="77777777" w:rsidR="00770A5E" w:rsidRDefault="00770A5E" w:rsidP="00770A5E">
      <w:pPr>
        <w:pStyle w:val="NormalWeb"/>
      </w:pPr>
      <w:r>
        <w:rPr>
          <w:color w:val="000000"/>
          <w:sz w:val="24"/>
          <w:szCs w:val="24"/>
        </w:rPr>
        <w:t> </w:t>
      </w:r>
    </w:p>
    <w:p w14:paraId="451C28B3" w14:textId="76B10E75" w:rsidR="00770A5E" w:rsidRDefault="00770A5E" w:rsidP="00770A5E">
      <w:pPr>
        <w:pStyle w:val="NormalWeb"/>
      </w:pPr>
      <w:r>
        <w:rPr>
          <w:color w:val="000000"/>
          <w:sz w:val="24"/>
          <w:szCs w:val="24"/>
        </w:rPr>
        <w:t>Additionally, the halving of the tax-free allowance for Capital Gains in April will impact landlords contemplating property sales, although it's unlikely to significantly affect long-term profits</w:t>
      </w:r>
      <w:r w:rsidR="00C12CA3" w:rsidRPr="00C12CA3">
        <w:rPr>
          <w:color w:val="000000"/>
          <w:sz w:val="24"/>
          <w:szCs w:val="24"/>
          <w:vertAlign w:val="superscript"/>
        </w:rPr>
        <w:t>1</w:t>
      </w:r>
      <w:r>
        <w:rPr>
          <w:color w:val="000000"/>
          <w:sz w:val="24"/>
          <w:szCs w:val="24"/>
        </w:rPr>
        <w:t>. </w:t>
      </w:r>
    </w:p>
    <w:p w14:paraId="64523C48" w14:textId="77777777" w:rsidR="00770A5E" w:rsidRDefault="00770A5E" w:rsidP="00770A5E">
      <w:pPr>
        <w:pStyle w:val="NormalWeb"/>
      </w:pPr>
      <w:r>
        <w:rPr>
          <w:color w:val="000000"/>
          <w:sz w:val="24"/>
          <w:szCs w:val="24"/>
        </w:rPr>
        <w:t> </w:t>
      </w:r>
    </w:p>
    <w:p w14:paraId="41DF8D84" w14:textId="77777777" w:rsidR="00770A5E" w:rsidRDefault="00770A5E" w:rsidP="00770A5E">
      <w:pPr>
        <w:pStyle w:val="NormalWeb"/>
      </w:pPr>
      <w:r>
        <w:rPr>
          <w:b/>
          <w:bCs/>
          <w:color w:val="000000"/>
          <w:sz w:val="24"/>
          <w:szCs w:val="24"/>
        </w:rPr>
        <w:t>Property Sales: A Mixed Outlook </w:t>
      </w:r>
    </w:p>
    <w:p w14:paraId="3844E85B" w14:textId="77777777" w:rsidR="00770A5E" w:rsidRDefault="00770A5E" w:rsidP="00770A5E">
      <w:pPr>
        <w:pStyle w:val="NormalWeb"/>
      </w:pPr>
      <w:r>
        <w:rPr>
          <w:b/>
          <w:bCs/>
          <w:color w:val="000000"/>
          <w:sz w:val="24"/>
          <w:szCs w:val="24"/>
        </w:rPr>
        <w:t> </w:t>
      </w:r>
    </w:p>
    <w:p w14:paraId="4692B803" w14:textId="61639554" w:rsidR="00770A5E" w:rsidRDefault="00770A5E" w:rsidP="00770A5E">
      <w:pPr>
        <w:pStyle w:val="NormalWeb"/>
      </w:pPr>
      <w:r>
        <w:rPr>
          <w:color w:val="000000"/>
          <w:sz w:val="24"/>
          <w:szCs w:val="24"/>
        </w:rPr>
        <w:t>The property market in 2024 may initially favour buyers, but a traditional uptick is expected in the spring. However, the Chancellor's Spring Budget and the prospect of a General Election could introduce uncertainty, affecting market confidence and transaction volumes</w:t>
      </w:r>
      <w:r w:rsidR="00C12CA3" w:rsidRPr="00C12CA3">
        <w:rPr>
          <w:color w:val="000000"/>
          <w:sz w:val="24"/>
          <w:szCs w:val="24"/>
          <w:vertAlign w:val="superscript"/>
        </w:rPr>
        <w:t>1</w:t>
      </w:r>
      <w:r>
        <w:rPr>
          <w:color w:val="000000"/>
          <w:sz w:val="24"/>
          <w:szCs w:val="24"/>
        </w:rPr>
        <w:t>. </w:t>
      </w:r>
    </w:p>
    <w:p w14:paraId="05AA1379" w14:textId="77777777" w:rsidR="00770A5E" w:rsidRDefault="00770A5E" w:rsidP="00770A5E">
      <w:pPr>
        <w:pStyle w:val="NormalWeb"/>
      </w:pPr>
      <w:r>
        <w:rPr>
          <w:color w:val="000000"/>
          <w:sz w:val="24"/>
          <w:szCs w:val="24"/>
        </w:rPr>
        <w:t> </w:t>
      </w:r>
    </w:p>
    <w:p w14:paraId="68B9CE43" w14:textId="77777777" w:rsidR="00770A5E" w:rsidRDefault="00770A5E" w:rsidP="00770A5E">
      <w:pPr>
        <w:pStyle w:val="NormalWeb"/>
      </w:pPr>
      <w:r>
        <w:rPr>
          <w:b/>
          <w:bCs/>
          <w:color w:val="000000"/>
          <w:sz w:val="24"/>
          <w:szCs w:val="24"/>
        </w:rPr>
        <w:t>Rental Market Trends: A Steady Growth </w:t>
      </w:r>
    </w:p>
    <w:p w14:paraId="3B2AE138" w14:textId="77777777" w:rsidR="00770A5E" w:rsidRDefault="00770A5E" w:rsidP="00770A5E">
      <w:pPr>
        <w:pStyle w:val="NormalWeb"/>
      </w:pPr>
      <w:r>
        <w:rPr>
          <w:color w:val="000000"/>
          <w:sz w:val="24"/>
          <w:szCs w:val="24"/>
        </w:rPr>
        <w:t> </w:t>
      </w:r>
    </w:p>
    <w:p w14:paraId="770EE500" w14:textId="620397E6" w:rsidR="00770A5E" w:rsidRDefault="00770A5E" w:rsidP="00770A5E">
      <w:pPr>
        <w:pStyle w:val="NormalWeb"/>
      </w:pPr>
      <w:r>
        <w:rPr>
          <w:color w:val="000000"/>
          <w:sz w:val="24"/>
          <w:szCs w:val="24"/>
        </w:rPr>
        <w:t>The rental market looks promising, with predictions of sustained rent growth, albeit at a slightly moderated pace. With average UK rents expected to grow by 5%-6% in 2024</w:t>
      </w:r>
      <w:r w:rsidR="00C12CA3" w:rsidRPr="00C12CA3">
        <w:rPr>
          <w:color w:val="000000"/>
          <w:sz w:val="24"/>
          <w:szCs w:val="24"/>
          <w:vertAlign w:val="superscript"/>
        </w:rPr>
        <w:t>3</w:t>
      </w:r>
      <w:r>
        <w:rPr>
          <w:color w:val="000000"/>
          <w:sz w:val="24"/>
          <w:szCs w:val="24"/>
        </w:rPr>
        <w:t xml:space="preserve"> and a cumulative growth of around 20% over the next five years, landlords stand to benefit from a robust rental profit potential, especially if inflation stabilises around 2%.</w:t>
      </w:r>
      <w:r w:rsidR="00C12CA3" w:rsidRPr="00C12CA3">
        <w:rPr>
          <w:color w:val="000000"/>
          <w:sz w:val="24"/>
          <w:szCs w:val="24"/>
          <w:vertAlign w:val="superscript"/>
        </w:rPr>
        <w:t>1</w:t>
      </w:r>
      <w:r>
        <w:rPr>
          <w:color w:val="000000"/>
          <w:sz w:val="24"/>
          <w:szCs w:val="24"/>
        </w:rPr>
        <w:t> </w:t>
      </w:r>
    </w:p>
    <w:p w14:paraId="11743208" w14:textId="77777777" w:rsidR="00770A5E" w:rsidRDefault="00770A5E" w:rsidP="00770A5E">
      <w:pPr>
        <w:pStyle w:val="NormalWeb"/>
      </w:pPr>
      <w:r>
        <w:rPr>
          <w:color w:val="000000"/>
          <w:sz w:val="24"/>
          <w:szCs w:val="24"/>
        </w:rPr>
        <w:t> </w:t>
      </w:r>
    </w:p>
    <w:p w14:paraId="31B0084A" w14:textId="77777777" w:rsidR="00770A5E" w:rsidRDefault="00770A5E" w:rsidP="00770A5E">
      <w:pPr>
        <w:pStyle w:val="NormalWeb"/>
      </w:pPr>
      <w:r>
        <w:rPr>
          <w:b/>
          <w:bCs/>
          <w:color w:val="000000"/>
          <w:sz w:val="24"/>
          <w:szCs w:val="24"/>
        </w:rPr>
        <w:t>The Future of Lettings: Key Legislative Changes </w:t>
      </w:r>
    </w:p>
    <w:p w14:paraId="493ADF3E" w14:textId="77777777" w:rsidR="00770A5E" w:rsidRDefault="00770A5E" w:rsidP="00770A5E">
      <w:pPr>
        <w:pStyle w:val="NormalWeb"/>
      </w:pPr>
      <w:r>
        <w:rPr>
          <w:b/>
          <w:bCs/>
          <w:color w:val="000000"/>
          <w:sz w:val="24"/>
          <w:szCs w:val="24"/>
        </w:rPr>
        <w:t> </w:t>
      </w:r>
    </w:p>
    <w:p w14:paraId="729317A0" w14:textId="4CBC722B" w:rsidR="00770A5E" w:rsidRDefault="00770A5E" w:rsidP="00770A5E">
      <w:pPr>
        <w:pStyle w:val="NormalWeb"/>
      </w:pPr>
      <w:r>
        <w:rPr>
          <w:color w:val="000000"/>
          <w:sz w:val="24"/>
          <w:szCs w:val="24"/>
        </w:rPr>
        <w:lastRenderedPageBreak/>
        <w:t xml:space="preserve">The Renters (Reform) Bill and Labour's Renters' Charter are set to bring significant changes. Both proposals advocate for the abolition of Section 21, but the complete abolition by 2024 remains uncertain, especially with the </w:t>
      </w:r>
      <w:r w:rsidR="00C12CA3">
        <w:rPr>
          <w:color w:val="000000"/>
          <w:sz w:val="24"/>
          <w:szCs w:val="24"/>
        </w:rPr>
        <w:t>Government’s</w:t>
      </w:r>
      <w:r>
        <w:rPr>
          <w:color w:val="000000"/>
          <w:sz w:val="24"/>
          <w:szCs w:val="24"/>
        </w:rPr>
        <w:t xml:space="preserve"> reluctance to proceed until court reforms are in place</w:t>
      </w:r>
      <w:r w:rsidR="00C12CA3" w:rsidRPr="00C12CA3">
        <w:rPr>
          <w:color w:val="000000"/>
          <w:sz w:val="24"/>
          <w:szCs w:val="24"/>
          <w:vertAlign w:val="superscript"/>
        </w:rPr>
        <w:t>1</w:t>
      </w:r>
      <w:r>
        <w:rPr>
          <w:color w:val="000000"/>
          <w:sz w:val="24"/>
          <w:szCs w:val="24"/>
        </w:rPr>
        <w:t xml:space="preserve">. Landlords </w:t>
      </w:r>
      <w:r w:rsidR="00C12CA3">
        <w:rPr>
          <w:color w:val="000000"/>
          <w:sz w:val="24"/>
          <w:szCs w:val="24"/>
        </w:rPr>
        <w:t>may wish to</w:t>
      </w:r>
      <w:r>
        <w:rPr>
          <w:color w:val="000000"/>
          <w:sz w:val="24"/>
          <w:szCs w:val="24"/>
        </w:rPr>
        <w:t xml:space="preserve"> closely monitor these developments to adjust their strategies accordingly. </w:t>
      </w:r>
    </w:p>
    <w:p w14:paraId="0FFE479E" w14:textId="77777777" w:rsidR="00770A5E" w:rsidRDefault="00770A5E" w:rsidP="00770A5E">
      <w:pPr>
        <w:pStyle w:val="NormalWeb"/>
      </w:pPr>
      <w:r>
        <w:rPr>
          <w:color w:val="000000"/>
          <w:sz w:val="24"/>
          <w:szCs w:val="24"/>
        </w:rPr>
        <w:t> </w:t>
      </w:r>
    </w:p>
    <w:p w14:paraId="290E40DB" w14:textId="77777777" w:rsidR="00770A5E" w:rsidRDefault="00770A5E" w:rsidP="00770A5E">
      <w:pPr>
        <w:pStyle w:val="NormalWeb"/>
      </w:pPr>
      <w:r>
        <w:rPr>
          <w:b/>
          <w:bCs/>
          <w:color w:val="000000"/>
          <w:sz w:val="24"/>
          <w:szCs w:val="24"/>
        </w:rPr>
        <w:t>Compliance with Material Information Requirements </w:t>
      </w:r>
    </w:p>
    <w:p w14:paraId="22DADDD6" w14:textId="77777777" w:rsidR="00770A5E" w:rsidRDefault="00770A5E" w:rsidP="00770A5E">
      <w:pPr>
        <w:pStyle w:val="NormalWeb"/>
      </w:pPr>
      <w:r>
        <w:rPr>
          <w:color w:val="000000"/>
          <w:sz w:val="24"/>
          <w:szCs w:val="24"/>
        </w:rPr>
        <w:t> </w:t>
      </w:r>
    </w:p>
    <w:p w14:paraId="417D3122" w14:textId="3395621F" w:rsidR="00770A5E" w:rsidRDefault="00770A5E" w:rsidP="00770A5E">
      <w:pPr>
        <w:pStyle w:val="NormalWeb"/>
      </w:pPr>
      <w:r>
        <w:rPr>
          <w:color w:val="000000"/>
          <w:sz w:val="24"/>
          <w:szCs w:val="24"/>
        </w:rPr>
        <w:t>The definitive change for 2024 concerns the 'material information' required in property listings. Ensure compliance with Parts A, B, and C of the guidance, which include details like price/rent, council tax, property type, and other pertinent issues. Whether you use an agent or market your property independently, adhering to</w:t>
      </w:r>
      <w:r w:rsidR="006C6E45">
        <w:rPr>
          <w:color w:val="000000"/>
          <w:sz w:val="24"/>
          <w:szCs w:val="24"/>
        </w:rPr>
        <w:t xml:space="preserve"> the guidelines of the</w:t>
      </w:r>
      <w:r w:rsidR="00C12CA3" w:rsidRPr="00C12CA3">
        <w:t xml:space="preserve"> </w:t>
      </w:r>
      <w:r w:rsidR="00C12CA3" w:rsidRPr="00C12CA3">
        <w:rPr>
          <w:color w:val="000000"/>
          <w:sz w:val="24"/>
          <w:szCs w:val="24"/>
        </w:rPr>
        <w:t>National Trading Standards Estate and Letting Agency Team</w:t>
      </w:r>
      <w:r>
        <w:rPr>
          <w:color w:val="000000"/>
          <w:sz w:val="24"/>
          <w:szCs w:val="24"/>
        </w:rPr>
        <w:t xml:space="preserve"> is essential for accurate and compliant listings. </w:t>
      </w:r>
    </w:p>
    <w:p w14:paraId="7AD2CFBF" w14:textId="77777777" w:rsidR="00770A5E" w:rsidRDefault="00770A5E" w:rsidP="00770A5E">
      <w:pPr>
        <w:pStyle w:val="NormalWeb"/>
      </w:pPr>
      <w:r>
        <w:rPr>
          <w:color w:val="000000"/>
          <w:sz w:val="24"/>
          <w:szCs w:val="24"/>
        </w:rPr>
        <w:t> </w:t>
      </w:r>
    </w:p>
    <w:p w14:paraId="0478CFE5" w14:textId="77777777" w:rsidR="00770A5E" w:rsidRDefault="00770A5E" w:rsidP="00770A5E">
      <w:pPr>
        <w:pStyle w:val="elementtoproof"/>
      </w:pPr>
      <w:r>
        <w:rPr>
          <w:color w:val="000000"/>
          <w:sz w:val="24"/>
          <w:szCs w:val="24"/>
        </w:rPr>
        <w:t>2024 is set to be a year of significant changes and opportunities for landlords. Staying informed and adaptable will be key to navigating the evolving landscape of property management and investment. By understanding and responding to these developments, landlords can position themselves to make the most of the opportunities and challenges ahead. </w:t>
      </w:r>
    </w:p>
    <w:p w14:paraId="0E586C7B" w14:textId="77777777" w:rsidR="00770A5E" w:rsidRDefault="00770A5E" w:rsidP="00770A5E">
      <w:pPr>
        <w:rPr>
          <w:b/>
          <w:bCs/>
          <w:sz w:val="24"/>
          <w:szCs w:val="24"/>
        </w:rPr>
      </w:pPr>
    </w:p>
    <w:p w14:paraId="7E571348" w14:textId="77777777" w:rsidR="006C6E45" w:rsidRPr="00634886" w:rsidRDefault="006C6E45" w:rsidP="00770A5E">
      <w:pPr>
        <w:rPr>
          <w:sz w:val="24"/>
          <w:szCs w:val="24"/>
        </w:rPr>
      </w:pPr>
    </w:p>
    <w:p w14:paraId="71465CA8" w14:textId="77777777" w:rsidR="00770A5E" w:rsidRPr="00634886" w:rsidRDefault="00770A5E" w:rsidP="00770A5E">
      <w:pPr>
        <w:rPr>
          <w:b/>
          <w:bCs/>
          <w:sz w:val="24"/>
          <w:szCs w:val="24"/>
          <w:u w:val="single"/>
        </w:rPr>
      </w:pPr>
      <w:r w:rsidRPr="00634886">
        <w:rPr>
          <w:b/>
          <w:bCs/>
          <w:sz w:val="24"/>
          <w:szCs w:val="24"/>
          <w:u w:val="single"/>
        </w:rPr>
        <w:t>Sources</w:t>
      </w:r>
    </w:p>
    <w:p w14:paraId="7445AD92" w14:textId="77777777" w:rsidR="00770A5E" w:rsidRDefault="00770A5E" w:rsidP="00770A5E">
      <w:pPr>
        <w:rPr>
          <w:rFonts w:ascii="Calibri" w:hAnsi="Calibri" w:cs="Calibri"/>
          <w:lang w:eastAsia="en-GB"/>
        </w:rPr>
      </w:pPr>
    </w:p>
    <w:p w14:paraId="408466D3" w14:textId="69D14136" w:rsidR="00770A5E" w:rsidRDefault="00770A5E" w:rsidP="00634886">
      <w:pPr>
        <w:pStyle w:val="ListParagraph"/>
        <w:numPr>
          <w:ilvl w:val="0"/>
          <w:numId w:val="2"/>
        </w:numPr>
      </w:pPr>
      <w:r>
        <w:t>Landlord Zone (2024)</w:t>
      </w:r>
      <w:r w:rsidRPr="00770A5E">
        <w:t xml:space="preserve"> </w:t>
      </w:r>
      <w:r w:rsidRPr="00634886">
        <w:rPr>
          <w:i/>
          <w:iCs/>
        </w:rPr>
        <w:t>What is in store for landlords in 2024?.</w:t>
      </w:r>
      <w:r>
        <w:t xml:space="preserve"> Available at: </w:t>
      </w:r>
      <w:hyperlink r:id="rId5" w:history="1">
        <w:r w:rsidRPr="0085387A">
          <w:rPr>
            <w:rStyle w:val="Hyperlink"/>
          </w:rPr>
          <w:t>https://www.landlordzone.co.uk/news/what-is-in-store-for-landlords-in-2024</w:t>
        </w:r>
      </w:hyperlink>
      <w:r>
        <w:t xml:space="preserve"> (Accessed 18 Jan 2024)</w:t>
      </w:r>
    </w:p>
    <w:p w14:paraId="667C026B" w14:textId="77777777" w:rsidR="00634886" w:rsidRDefault="00634886" w:rsidP="00634886">
      <w:pPr>
        <w:pStyle w:val="ListParagraph"/>
      </w:pPr>
    </w:p>
    <w:p w14:paraId="4A5BF9CA" w14:textId="1B786563" w:rsidR="00C12CA3" w:rsidRDefault="00634886" w:rsidP="00C12CA3">
      <w:pPr>
        <w:pStyle w:val="ListParagraph"/>
        <w:numPr>
          <w:ilvl w:val="0"/>
          <w:numId w:val="2"/>
        </w:numPr>
      </w:pPr>
      <w:r>
        <w:t xml:space="preserve">Reuters (2024) </w:t>
      </w:r>
      <w:r w:rsidRPr="00634886">
        <w:rPr>
          <w:i/>
          <w:iCs/>
        </w:rPr>
        <w:t>Explainer: What is the outlook for UK inflation in 2024?</w:t>
      </w:r>
      <w:r w:rsidRPr="00634886">
        <w:rPr>
          <w:i/>
          <w:iCs/>
        </w:rPr>
        <w:t>.</w:t>
      </w:r>
      <w:r>
        <w:t xml:space="preserve"> Available at: </w:t>
      </w:r>
      <w:hyperlink r:id="rId6" w:history="1">
        <w:r w:rsidRPr="007C74D9">
          <w:rPr>
            <w:rStyle w:val="Hyperlink"/>
          </w:rPr>
          <w:t>https://www.reuters.com/markets/europe/what-is-outlook-uk-inflation-2024-2024-01-17/</w:t>
        </w:r>
      </w:hyperlink>
      <w:r>
        <w:t xml:space="preserve"> (Accessed 18 Jan 2024)</w:t>
      </w:r>
    </w:p>
    <w:p w14:paraId="46E7D802" w14:textId="77777777" w:rsidR="00C12CA3" w:rsidRDefault="00C12CA3" w:rsidP="00C12CA3">
      <w:pPr>
        <w:pStyle w:val="ListParagraph"/>
      </w:pPr>
    </w:p>
    <w:p w14:paraId="5D52A745" w14:textId="2450896C" w:rsidR="00C12CA3" w:rsidRDefault="00C12CA3" w:rsidP="00C12CA3">
      <w:pPr>
        <w:pStyle w:val="ListParagraph"/>
        <w:numPr>
          <w:ilvl w:val="0"/>
          <w:numId w:val="2"/>
        </w:numPr>
      </w:pPr>
      <w:r>
        <w:t xml:space="preserve">Savills (2024) </w:t>
      </w:r>
      <w:r w:rsidRPr="00C12CA3">
        <w:rPr>
          <w:i/>
          <w:iCs/>
        </w:rPr>
        <w:t>UK rents to keep on rising but will hit 'affordability ceiling' in 2025</w:t>
      </w:r>
      <w:r w:rsidRPr="00C12CA3">
        <w:rPr>
          <w:i/>
          <w:iCs/>
        </w:rPr>
        <w:t>.</w:t>
      </w:r>
      <w:r>
        <w:t xml:space="preserve"> Available at: </w:t>
      </w:r>
      <w:hyperlink r:id="rId7" w:history="1">
        <w:r w:rsidRPr="007C74D9">
          <w:rPr>
            <w:rStyle w:val="Hyperlink"/>
          </w:rPr>
          <w:t>https://www.savills.co.uk/insight-and-opinion/savills-news/354578-0/uk-rents-to-keep-on-rising-but-will-hit--affordability-ceiling--in-2025</w:t>
        </w:r>
      </w:hyperlink>
      <w:r>
        <w:t xml:space="preserve"> (Accessed 18 Jan 2024)</w:t>
      </w:r>
    </w:p>
    <w:p w14:paraId="3020A33D" w14:textId="77777777" w:rsidR="00770A5E" w:rsidRDefault="00770A5E" w:rsidP="00770A5E"/>
    <w:p w14:paraId="6F2335E5" w14:textId="77777777" w:rsidR="00770A5E" w:rsidRPr="00BF05AB" w:rsidRDefault="00770A5E" w:rsidP="00770A5E">
      <w:pPr>
        <w:rPr>
          <w:rFonts w:cstheme="minorHAnsi"/>
          <w:i/>
          <w:iCs/>
        </w:rPr>
      </w:pPr>
      <w:r w:rsidRPr="00BF05AB">
        <w:rPr>
          <w:rFonts w:cstheme="minorHAnsi"/>
          <w:i/>
          <w:iCs/>
        </w:rPr>
        <w:t xml:space="preserve">All the information in this article is correct as of the publish date </w:t>
      </w:r>
      <w:r>
        <w:rPr>
          <w:rFonts w:cstheme="minorHAnsi"/>
          <w:i/>
          <w:iCs/>
        </w:rPr>
        <w:t>25</w:t>
      </w:r>
      <w:r w:rsidRPr="00382BF1">
        <w:rPr>
          <w:rFonts w:cstheme="minorHAnsi"/>
          <w:i/>
          <w:iCs/>
          <w:vertAlign w:val="superscript"/>
        </w:rPr>
        <w:t>th</w:t>
      </w:r>
      <w:r>
        <w:rPr>
          <w:rFonts w:cstheme="minorHAnsi"/>
          <w:i/>
          <w:iCs/>
        </w:rPr>
        <w:t xml:space="preserve"> January 2024</w:t>
      </w:r>
      <w:r w:rsidRPr="00BF05AB">
        <w:rPr>
          <w:rFonts w:cstheme="minorHAnsi"/>
          <w:i/>
          <w:iCs/>
        </w:rPr>
        <w:t>.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75FD4703" w14:textId="77777777" w:rsidR="00770A5E" w:rsidRDefault="00770A5E"/>
    <w:sectPr w:rsidR="00770A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90F9D"/>
    <w:multiLevelType w:val="hybridMultilevel"/>
    <w:tmpl w:val="62F82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C4355D"/>
    <w:multiLevelType w:val="hybridMultilevel"/>
    <w:tmpl w:val="E94A6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2053821">
    <w:abstractNumId w:val="0"/>
  </w:num>
  <w:num w:numId="2" w16cid:durableId="1932860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5E"/>
    <w:rsid w:val="001D15AB"/>
    <w:rsid w:val="004339EF"/>
    <w:rsid w:val="00634886"/>
    <w:rsid w:val="006C6E45"/>
    <w:rsid w:val="00770A5E"/>
    <w:rsid w:val="00A712AA"/>
    <w:rsid w:val="00C12CA3"/>
    <w:rsid w:val="00FC0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5451"/>
  <w15:chartTrackingRefBased/>
  <w15:docId w15:val="{728F0F06-E218-4690-A70B-08736392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A5E"/>
    <w:pPr>
      <w:spacing w:after="0" w:line="240" w:lineRule="auto"/>
    </w:pPr>
    <w:rPr>
      <w:rFonts w:ascii="Calibri" w:hAnsi="Calibri" w:cs="Calibri"/>
      <w:lang w:eastAsia="en-GB"/>
    </w:rPr>
  </w:style>
  <w:style w:type="paragraph" w:customStyle="1" w:styleId="elementtoproof">
    <w:name w:val="elementtoproof"/>
    <w:basedOn w:val="Normal"/>
    <w:uiPriority w:val="99"/>
    <w:semiHidden/>
    <w:rsid w:val="00770A5E"/>
    <w:pPr>
      <w:spacing w:after="0" w:line="240" w:lineRule="auto"/>
    </w:pPr>
    <w:rPr>
      <w:rFonts w:ascii="Calibri" w:hAnsi="Calibri" w:cs="Calibri"/>
      <w:lang w:eastAsia="en-GB"/>
    </w:rPr>
  </w:style>
  <w:style w:type="character" w:styleId="Hyperlink">
    <w:name w:val="Hyperlink"/>
    <w:basedOn w:val="DefaultParagraphFont"/>
    <w:uiPriority w:val="99"/>
    <w:unhideWhenUsed/>
    <w:rsid w:val="00770A5E"/>
    <w:rPr>
      <w:color w:val="0563C1" w:themeColor="hyperlink"/>
      <w:u w:val="single"/>
    </w:rPr>
  </w:style>
  <w:style w:type="paragraph" w:styleId="ListParagraph">
    <w:name w:val="List Paragraph"/>
    <w:basedOn w:val="Normal"/>
    <w:uiPriority w:val="34"/>
    <w:qFormat/>
    <w:rsid w:val="00770A5E"/>
    <w:pPr>
      <w:spacing w:after="0" w:line="240" w:lineRule="auto"/>
      <w:ind w:left="720"/>
      <w:contextualSpacing/>
    </w:pPr>
    <w:rPr>
      <w:rFonts w:ascii="Calibri" w:hAnsi="Calibri" w:cs="Calibri"/>
      <w:lang w:eastAsia="en-GB"/>
    </w:rPr>
  </w:style>
  <w:style w:type="character" w:styleId="UnresolvedMention">
    <w:name w:val="Unresolved Mention"/>
    <w:basedOn w:val="DefaultParagraphFont"/>
    <w:uiPriority w:val="99"/>
    <w:semiHidden/>
    <w:unhideWhenUsed/>
    <w:rsid w:val="0077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2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vills.co.uk/insight-and-opinion/savills-news/354578-0/uk-rents-to-keep-on-rising-but-will-hit--affordability-ceiling--in-2025"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uters.com/markets/europe/what-is-outlook-uk-inflation-2024-2024-01-17/" TargetMode="External"/><Relationship Id="rId11" Type="http://schemas.openxmlformats.org/officeDocument/2006/relationships/customXml" Target="../customXml/item2.xml"/><Relationship Id="rId5" Type="http://schemas.openxmlformats.org/officeDocument/2006/relationships/hyperlink" Target="https://www.landlordzone.co.uk/news/what-is-in-store-for-landlords-in-2024"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5AABA5-DA26-41E1-A538-C692933C5875}"/>
</file>

<file path=customXml/itemProps2.xml><?xml version="1.0" encoding="utf-8"?>
<ds:datastoreItem xmlns:ds="http://schemas.openxmlformats.org/officeDocument/2006/customXml" ds:itemID="{E97ADAF8-2D34-498E-A7B1-FF5996A2C2F4}"/>
</file>

<file path=customXml/itemProps3.xml><?xml version="1.0" encoding="utf-8"?>
<ds:datastoreItem xmlns:ds="http://schemas.openxmlformats.org/officeDocument/2006/customXml" ds:itemID="{B8FA3FF6-0C29-4AC2-AE35-C237FFB8C573}"/>
</file>

<file path=docProps/app.xml><?xml version="1.0" encoding="utf-8"?>
<Properties xmlns="http://schemas.openxmlformats.org/officeDocument/2006/extended-properties" xmlns:vt="http://schemas.openxmlformats.org/officeDocument/2006/docPropsVTypes">
  <Template>Normal</Template>
  <TotalTime>37</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4</cp:revision>
  <dcterms:created xsi:type="dcterms:W3CDTF">2024-01-18T15:02:00Z</dcterms:created>
  <dcterms:modified xsi:type="dcterms:W3CDTF">2024-01-18T15:50:00Z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