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2695" w14:textId="77777777" w:rsidR="00BF2701" w:rsidRPr="00BF2701" w:rsidRDefault="00BF2701" w:rsidP="00BF2701">
      <w:pPr>
        <w:spacing w:before="100" w:beforeAutospacing="1" w:after="100" w:afterAutospacing="1"/>
        <w:outlineLvl w:val="0"/>
        <w:rPr>
          <w:rFonts w:ascii="Calibri" w:eastAsia="Times New Roman" w:hAnsi="Calibri" w:cs="Calibri"/>
          <w:b/>
          <w:bCs/>
          <w:kern w:val="36"/>
          <w:sz w:val="48"/>
          <w:szCs w:val="48"/>
          <w:lang w:eastAsia="en-GB"/>
          <w14:ligatures w14:val="none"/>
        </w:rPr>
      </w:pPr>
      <w:r w:rsidRPr="00BF2701">
        <w:rPr>
          <w:rFonts w:ascii="Calibri" w:eastAsia="Times New Roman" w:hAnsi="Calibri" w:cs="Calibri"/>
          <w:b/>
          <w:bCs/>
          <w:kern w:val="36"/>
          <w:sz w:val="48"/>
          <w:szCs w:val="48"/>
          <w:lang w:eastAsia="en-GB"/>
          <w14:ligatures w14:val="none"/>
        </w:rPr>
        <w:t>Why Speaking to a Mortgage Broker Before Your Mortgage Deal Ends Could Save You Thousands and Protect Your Future</w:t>
      </w:r>
    </w:p>
    <w:p w14:paraId="4031070F"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 xml:space="preserve">Taking out a mortgage is one of the biggest financial commitments you will ever make. While securing your initial deal can feel like a major milestone, it is only the beginning. With most UK mortgages offering two or five-year fixed rates, many homeowners will need to remortgage sooner than they realise. Failing to </w:t>
      </w:r>
      <w:proofErr w:type="gramStart"/>
      <w:r w:rsidRPr="00BF2701">
        <w:rPr>
          <w:rFonts w:ascii="Calibri" w:eastAsia="Times New Roman" w:hAnsi="Calibri" w:cs="Calibri"/>
          <w:kern w:val="0"/>
          <w:lang w:eastAsia="en-GB"/>
          <w14:ligatures w14:val="none"/>
        </w:rPr>
        <w:t>plan ahead</w:t>
      </w:r>
      <w:proofErr w:type="gramEnd"/>
      <w:r w:rsidRPr="00BF2701">
        <w:rPr>
          <w:rFonts w:ascii="Calibri" w:eastAsia="Times New Roman" w:hAnsi="Calibri" w:cs="Calibri"/>
          <w:kern w:val="0"/>
          <w:lang w:eastAsia="en-GB"/>
          <w14:ligatures w14:val="none"/>
        </w:rPr>
        <w:t xml:space="preserve"> can result in paying far more than necessary and leaving your home at risk if life takes an unexpected turn.</w:t>
      </w:r>
    </w:p>
    <w:p w14:paraId="7D109247" w14:textId="0418C37F" w:rsidR="00BF2701" w:rsidRPr="00BF2701" w:rsidRDefault="00BF2701" w:rsidP="00BF2701">
      <w:pPr>
        <w:rPr>
          <w:rFonts w:ascii="Calibri" w:eastAsia="Times New Roman" w:hAnsi="Calibri" w:cs="Calibri"/>
          <w:kern w:val="0"/>
          <w:lang w:eastAsia="en-GB"/>
          <w14:ligatures w14:val="none"/>
        </w:rPr>
      </w:pPr>
      <w:r w:rsidRPr="00BF2701">
        <w:rPr>
          <w:rFonts w:ascii="Calibri" w:eastAsia="Times New Roman" w:hAnsi="Calibri" w:cs="Calibri"/>
          <w:b/>
          <w:bCs/>
          <w:kern w:val="0"/>
          <w:sz w:val="36"/>
          <w:szCs w:val="36"/>
          <w:lang w:eastAsia="en-GB"/>
          <w14:ligatures w14:val="none"/>
        </w:rPr>
        <w:t>The Cost of Doing Nothing</w:t>
      </w:r>
    </w:p>
    <w:p w14:paraId="7FC8AF57" w14:textId="77777777" w:rsidR="00BF2701" w:rsidRPr="00B6736B" w:rsidRDefault="00BF2701" w:rsidP="00BF2701">
      <w:pPr>
        <w:spacing w:before="100" w:beforeAutospacing="1" w:after="100" w:afterAutospacing="1"/>
        <w:rPr>
          <w:rFonts w:ascii="Calibri" w:eastAsia="Times New Roman" w:hAnsi="Calibri" w:cs="Calibri"/>
          <w:kern w:val="0"/>
          <w:lang w:eastAsia="en-GB"/>
          <w14:ligatures w14:val="none"/>
        </w:rPr>
      </w:pPr>
      <w:r w:rsidRPr="00B6736B">
        <w:rPr>
          <w:rFonts w:ascii="Calibri" w:eastAsia="Times New Roman" w:hAnsi="Calibri" w:cs="Calibri"/>
          <w:kern w:val="0"/>
          <w:lang w:eastAsia="en-GB"/>
          <w14:ligatures w14:val="none"/>
        </w:rPr>
        <w:t>When your fixed-rate deal ends, your mortgage will usually move to your lender’s Standard Variable Rate (SVR).</w:t>
      </w:r>
    </w:p>
    <w:p w14:paraId="50FB9F0E" w14:textId="77777777" w:rsidR="00BF2701" w:rsidRPr="00BF2701" w:rsidRDefault="00BF2701" w:rsidP="00BF2701">
      <w:pPr>
        <w:numPr>
          <w:ilvl w:val="0"/>
          <w:numId w:val="6"/>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SVRs are usually four or five percentage points higher than fixed-rate deals.</w:t>
      </w:r>
    </w:p>
    <w:p w14:paraId="6011BF11" w14:textId="77777777" w:rsidR="00BF2701" w:rsidRPr="00BF2701" w:rsidRDefault="00BF2701" w:rsidP="00BF2701">
      <w:pPr>
        <w:numPr>
          <w:ilvl w:val="0"/>
          <w:numId w:val="6"/>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This could increase your monthly repayments by hundreds of pounds.</w:t>
      </w:r>
    </w:p>
    <w:p w14:paraId="23DBC6FE"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Even if interest rates are higher than when you first took out your mortgage, remortgaging almost always costs less than staying on an SVR. Doing nothing could mean paying thousands of pounds more each year.</w:t>
      </w:r>
    </w:p>
    <w:p w14:paraId="2D5C29F8" w14:textId="55F8A064" w:rsidR="00BF2701" w:rsidRPr="00BF2701" w:rsidRDefault="00BF2701" w:rsidP="00BF2701">
      <w:pPr>
        <w:rPr>
          <w:rFonts w:ascii="Calibri" w:eastAsia="Times New Roman" w:hAnsi="Calibri" w:cs="Calibri"/>
          <w:kern w:val="0"/>
          <w:lang w:eastAsia="en-GB"/>
          <w14:ligatures w14:val="none"/>
        </w:rPr>
      </w:pPr>
      <w:r w:rsidRPr="00BF2701">
        <w:rPr>
          <w:rFonts w:ascii="Calibri" w:eastAsia="Times New Roman" w:hAnsi="Calibri" w:cs="Calibri"/>
          <w:b/>
          <w:bCs/>
          <w:kern w:val="0"/>
          <w:sz w:val="36"/>
          <w:szCs w:val="36"/>
          <w:lang w:eastAsia="en-GB"/>
          <w14:ligatures w14:val="none"/>
        </w:rPr>
        <w:t>Why Speak to a Mortgage Broker</w:t>
      </w:r>
    </w:p>
    <w:p w14:paraId="43C2D334" w14:textId="77777777" w:rsidR="00BF2701" w:rsidRPr="00BF2701" w:rsidRDefault="00BF2701" w:rsidP="00BF270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F2701">
        <w:rPr>
          <w:rFonts w:ascii="Calibri" w:eastAsia="Times New Roman" w:hAnsi="Calibri" w:cs="Calibri"/>
          <w:b/>
          <w:bCs/>
          <w:kern w:val="0"/>
          <w:sz w:val="27"/>
          <w:szCs w:val="27"/>
          <w:lang w:eastAsia="en-GB"/>
          <w14:ligatures w14:val="none"/>
        </w:rPr>
        <w:t>1. Access to a Comprehensive Panel of Lenders</w:t>
      </w:r>
    </w:p>
    <w:p w14:paraId="242D5001"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A mortgage broker works with a comprehensive panel of lenders. This means they can review a wide range of mortgage products rather than being restricted to the deals offered by your current bank or building society. This gives you a much better chance of finding the most competitive option for your circumstances.</w:t>
      </w:r>
    </w:p>
    <w:p w14:paraId="7962EF3B" w14:textId="77777777" w:rsidR="00BF2701" w:rsidRPr="00BF2701" w:rsidRDefault="00BF2701" w:rsidP="00BF270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F2701">
        <w:rPr>
          <w:rFonts w:ascii="Calibri" w:eastAsia="Times New Roman" w:hAnsi="Calibri" w:cs="Calibri"/>
          <w:b/>
          <w:bCs/>
          <w:kern w:val="0"/>
          <w:sz w:val="27"/>
          <w:szCs w:val="27"/>
          <w:lang w:eastAsia="en-GB"/>
          <w14:ligatures w14:val="none"/>
        </w:rPr>
        <w:t xml:space="preserve">2. Matching You </w:t>
      </w:r>
      <w:proofErr w:type="gramStart"/>
      <w:r w:rsidRPr="00BF2701">
        <w:rPr>
          <w:rFonts w:ascii="Calibri" w:eastAsia="Times New Roman" w:hAnsi="Calibri" w:cs="Calibri"/>
          <w:b/>
          <w:bCs/>
          <w:kern w:val="0"/>
          <w:sz w:val="27"/>
          <w:szCs w:val="27"/>
          <w:lang w:eastAsia="en-GB"/>
          <w14:ligatures w14:val="none"/>
        </w:rPr>
        <w:t>With</w:t>
      </w:r>
      <w:proofErr w:type="gramEnd"/>
      <w:r w:rsidRPr="00BF2701">
        <w:rPr>
          <w:rFonts w:ascii="Calibri" w:eastAsia="Times New Roman" w:hAnsi="Calibri" w:cs="Calibri"/>
          <w:b/>
          <w:bCs/>
          <w:kern w:val="0"/>
          <w:sz w:val="27"/>
          <w:szCs w:val="27"/>
          <w:lang w:eastAsia="en-GB"/>
          <w14:ligatures w14:val="none"/>
        </w:rPr>
        <w:t xml:space="preserve"> the Right Lender</w:t>
      </w:r>
    </w:p>
    <w:p w14:paraId="6380A577"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Every lender has its own criteria for approving applications. These include how they assess income, the type of property being purchased, and even whether they accept applicants who have recently changed jobs or are self-employed.</w:t>
      </w:r>
    </w:p>
    <w:p w14:paraId="5958A9CF" w14:textId="77777777" w:rsidR="00BF2701" w:rsidRPr="00BF2701" w:rsidRDefault="00BF2701" w:rsidP="00BF2701">
      <w:pPr>
        <w:numPr>
          <w:ilvl w:val="0"/>
          <w:numId w:val="7"/>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Going directly to one lender increases the risk of being rejected.</w:t>
      </w:r>
    </w:p>
    <w:p w14:paraId="39775366" w14:textId="77777777" w:rsidR="00BF2701" w:rsidRPr="00BF2701" w:rsidRDefault="00BF2701" w:rsidP="00BF2701">
      <w:pPr>
        <w:numPr>
          <w:ilvl w:val="0"/>
          <w:numId w:val="7"/>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A mortgage broker understands these rules and can match you to a lender who is more likely to approve your application.</w:t>
      </w:r>
    </w:p>
    <w:p w14:paraId="31C74ACB" w14:textId="77777777" w:rsidR="00BF2701" w:rsidRPr="00BF2701" w:rsidRDefault="00BF2701" w:rsidP="00BF270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F2701">
        <w:rPr>
          <w:rFonts w:ascii="Calibri" w:eastAsia="Times New Roman" w:hAnsi="Calibri" w:cs="Calibri"/>
          <w:b/>
          <w:bCs/>
          <w:kern w:val="0"/>
          <w:sz w:val="27"/>
          <w:szCs w:val="27"/>
          <w:lang w:eastAsia="en-GB"/>
          <w14:ligatures w14:val="none"/>
        </w:rPr>
        <w:t>3. Planning for the Unexpected</w:t>
      </w:r>
    </w:p>
    <w:p w14:paraId="458D2650"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lastRenderedPageBreak/>
        <w:t xml:space="preserve">A mortgage is not just about buying a home. It is also about protecting your ability to </w:t>
      </w:r>
      <w:r w:rsidRPr="00BF2701">
        <w:rPr>
          <w:rFonts w:ascii="Calibri" w:eastAsia="Times New Roman" w:hAnsi="Calibri" w:cs="Calibri"/>
          <w:b/>
          <w:bCs/>
          <w:kern w:val="0"/>
          <w:lang w:eastAsia="en-GB"/>
          <w14:ligatures w14:val="none"/>
        </w:rPr>
        <w:t>stay in it</w:t>
      </w:r>
      <w:r w:rsidRPr="00BF2701">
        <w:rPr>
          <w:rFonts w:ascii="Calibri" w:eastAsia="Times New Roman" w:hAnsi="Calibri" w:cs="Calibri"/>
          <w:kern w:val="0"/>
          <w:lang w:eastAsia="en-GB"/>
          <w14:ligatures w14:val="none"/>
        </w:rPr>
        <w:t>.</w:t>
      </w:r>
    </w:p>
    <w:p w14:paraId="5303995D" w14:textId="77777777" w:rsidR="00BF2701" w:rsidRPr="00BF2701" w:rsidRDefault="00BF2701" w:rsidP="00BF2701">
      <w:pPr>
        <w:numPr>
          <w:ilvl w:val="0"/>
          <w:numId w:val="8"/>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A mortgage broker will review protection options, including life cover, critical illness cover, and income protection.</w:t>
      </w:r>
    </w:p>
    <w:p w14:paraId="4C1F5781" w14:textId="77777777" w:rsidR="00BF2701" w:rsidRPr="00BF2701" w:rsidRDefault="00BF2701" w:rsidP="00BF2701">
      <w:pPr>
        <w:numPr>
          <w:ilvl w:val="0"/>
          <w:numId w:val="8"/>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These products ensure that if illness, injury, or even death affects your household income, you and your family will still be able to afford your home.</w:t>
      </w:r>
    </w:p>
    <w:p w14:paraId="696CDE15"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This additional level of planning gives you peace of mind and helps protect your family’s future.</w:t>
      </w:r>
    </w:p>
    <w:p w14:paraId="1090ACE4" w14:textId="77777777" w:rsidR="00BF2701" w:rsidRPr="00BF2701" w:rsidRDefault="00BF2701" w:rsidP="00BF270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F2701">
        <w:rPr>
          <w:rFonts w:ascii="Calibri" w:eastAsia="Times New Roman" w:hAnsi="Calibri" w:cs="Calibri"/>
          <w:b/>
          <w:bCs/>
          <w:kern w:val="0"/>
          <w:sz w:val="27"/>
          <w:szCs w:val="27"/>
          <w:lang w:eastAsia="en-GB"/>
          <w14:ligatures w14:val="none"/>
        </w:rPr>
        <w:t>4. Avoiding Mistakes</w:t>
      </w:r>
    </w:p>
    <w:p w14:paraId="19455177"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Applications can be complicated, especially if you have a unique situation such as self-employment, multiple income sources, or a property of non-standard construction. A broker’s expertise helps avoid errors and delays, reducing the risk of a failed application.</w:t>
      </w:r>
    </w:p>
    <w:p w14:paraId="72B13B04" w14:textId="6F79628C" w:rsidR="00BF2701" w:rsidRPr="00BF2701" w:rsidRDefault="00BF2701" w:rsidP="00BF2701">
      <w:pPr>
        <w:rPr>
          <w:rFonts w:ascii="Calibri" w:eastAsia="Times New Roman" w:hAnsi="Calibri" w:cs="Calibri"/>
          <w:kern w:val="0"/>
          <w:lang w:eastAsia="en-GB"/>
          <w14:ligatures w14:val="none"/>
        </w:rPr>
      </w:pPr>
      <w:r w:rsidRPr="00BF2701">
        <w:rPr>
          <w:rFonts w:ascii="Calibri" w:eastAsia="Times New Roman" w:hAnsi="Calibri" w:cs="Calibri"/>
          <w:b/>
          <w:bCs/>
          <w:kern w:val="0"/>
          <w:sz w:val="36"/>
          <w:szCs w:val="36"/>
          <w:lang w:eastAsia="en-GB"/>
          <w14:ligatures w14:val="none"/>
        </w:rPr>
        <w:t>Timing Is Crucial</w:t>
      </w:r>
    </w:p>
    <w:p w14:paraId="1431F733"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 xml:space="preserve">You can apply for a new mortgage </w:t>
      </w:r>
      <w:r w:rsidRPr="00BF2701">
        <w:rPr>
          <w:rFonts w:ascii="Calibri" w:eastAsia="Times New Roman" w:hAnsi="Calibri" w:cs="Calibri"/>
          <w:b/>
          <w:bCs/>
          <w:kern w:val="0"/>
          <w:lang w:eastAsia="en-GB"/>
          <w14:ligatures w14:val="none"/>
        </w:rPr>
        <w:t>up to six months before your current deal ends</w:t>
      </w:r>
      <w:r w:rsidRPr="00BF2701">
        <w:rPr>
          <w:rFonts w:ascii="Calibri" w:eastAsia="Times New Roman" w:hAnsi="Calibri" w:cs="Calibri"/>
          <w:kern w:val="0"/>
          <w:lang w:eastAsia="en-GB"/>
          <w14:ligatures w14:val="none"/>
        </w:rPr>
        <w:t>.</w:t>
      </w:r>
    </w:p>
    <w:p w14:paraId="5BE524D6" w14:textId="77777777" w:rsidR="00BF2701" w:rsidRPr="00BF2701" w:rsidRDefault="00BF2701" w:rsidP="00BF2701">
      <w:pPr>
        <w:numPr>
          <w:ilvl w:val="0"/>
          <w:numId w:val="9"/>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Acting early allows you to lock in a competitive rate and move seamlessly from one deal to another.</w:t>
      </w:r>
    </w:p>
    <w:p w14:paraId="00C30042" w14:textId="77777777" w:rsidR="00BF2701" w:rsidRPr="00BF2701" w:rsidRDefault="00BF2701" w:rsidP="00BF2701">
      <w:pPr>
        <w:numPr>
          <w:ilvl w:val="0"/>
          <w:numId w:val="9"/>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 xml:space="preserve">Lender offers are typically valid for three to six months, giving you flexibility to </w:t>
      </w:r>
      <w:proofErr w:type="gramStart"/>
      <w:r w:rsidRPr="00BF2701">
        <w:rPr>
          <w:rFonts w:ascii="Calibri" w:eastAsia="Times New Roman" w:hAnsi="Calibri" w:cs="Calibri"/>
          <w:kern w:val="0"/>
          <w:lang w:eastAsia="en-GB"/>
          <w14:ligatures w14:val="none"/>
        </w:rPr>
        <w:t>plan ahead</w:t>
      </w:r>
      <w:proofErr w:type="gramEnd"/>
      <w:r w:rsidRPr="00BF2701">
        <w:rPr>
          <w:rFonts w:ascii="Calibri" w:eastAsia="Times New Roman" w:hAnsi="Calibri" w:cs="Calibri"/>
          <w:kern w:val="0"/>
          <w:lang w:eastAsia="en-GB"/>
          <w14:ligatures w14:val="none"/>
        </w:rPr>
        <w:t>.</w:t>
      </w:r>
    </w:p>
    <w:p w14:paraId="53EDA7A3"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Waiting too long increases the risk of slipping onto an expensive SVR while your application is being processed.</w:t>
      </w:r>
    </w:p>
    <w:p w14:paraId="73267ECC" w14:textId="5675D688" w:rsidR="00BF2701" w:rsidRPr="00BF2701" w:rsidRDefault="00BF2701" w:rsidP="00BF2701">
      <w:pPr>
        <w:rPr>
          <w:rFonts w:ascii="Calibri" w:eastAsia="Times New Roman" w:hAnsi="Calibri" w:cs="Calibri"/>
          <w:kern w:val="0"/>
          <w:lang w:eastAsia="en-GB"/>
          <w14:ligatures w14:val="none"/>
        </w:rPr>
      </w:pPr>
      <w:r w:rsidRPr="00BF2701">
        <w:rPr>
          <w:rFonts w:ascii="Calibri" w:eastAsia="Times New Roman" w:hAnsi="Calibri" w:cs="Calibri"/>
          <w:b/>
          <w:bCs/>
          <w:kern w:val="0"/>
          <w:sz w:val="36"/>
          <w:szCs w:val="36"/>
          <w:lang w:eastAsia="en-GB"/>
          <w14:ligatures w14:val="none"/>
        </w:rPr>
        <w:t>Other Benefits of Remortgaging</w:t>
      </w:r>
    </w:p>
    <w:p w14:paraId="26DB48E1" w14:textId="77777777" w:rsidR="00BF2701" w:rsidRPr="00BF2701" w:rsidRDefault="00BF2701" w:rsidP="00BF2701">
      <w:pPr>
        <w:numPr>
          <w:ilvl w:val="0"/>
          <w:numId w:val="10"/>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b/>
          <w:bCs/>
          <w:kern w:val="0"/>
          <w:lang w:eastAsia="en-GB"/>
          <w14:ligatures w14:val="none"/>
        </w:rPr>
        <w:t>Access to Better Deals Through Equity Growth</w:t>
      </w:r>
      <w:r w:rsidRPr="00BF2701">
        <w:rPr>
          <w:rFonts w:ascii="Calibri" w:eastAsia="Times New Roman" w:hAnsi="Calibri" w:cs="Calibri"/>
          <w:kern w:val="0"/>
          <w:lang w:eastAsia="en-GB"/>
          <w14:ligatures w14:val="none"/>
        </w:rPr>
        <w:br/>
        <w:t>As you repay your mortgage and your home’s value increases, your loan-to-value ratio improves. This can unlock cheaper rates that were not available to you before.</w:t>
      </w:r>
    </w:p>
    <w:p w14:paraId="4587A173" w14:textId="77777777" w:rsidR="00BF2701" w:rsidRPr="00BF2701" w:rsidRDefault="00BF2701" w:rsidP="00BF2701">
      <w:pPr>
        <w:numPr>
          <w:ilvl w:val="0"/>
          <w:numId w:val="10"/>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b/>
          <w:bCs/>
          <w:kern w:val="0"/>
          <w:lang w:eastAsia="en-GB"/>
          <w14:ligatures w14:val="none"/>
        </w:rPr>
        <w:t>Release Equity for Major Plans</w:t>
      </w:r>
      <w:r w:rsidRPr="00BF2701">
        <w:rPr>
          <w:rFonts w:ascii="Calibri" w:eastAsia="Times New Roman" w:hAnsi="Calibri" w:cs="Calibri"/>
          <w:kern w:val="0"/>
          <w:lang w:eastAsia="en-GB"/>
          <w14:ligatures w14:val="none"/>
        </w:rPr>
        <w:br/>
        <w:t>Remortgaging can allow you to release some of the value in your home to fund renovations or pay off other debts. This must be carefully considered, as it will increase your monthly payments and the total interest you pay.</w:t>
      </w:r>
    </w:p>
    <w:p w14:paraId="7F499E14" w14:textId="77777777" w:rsidR="00BF2701" w:rsidRPr="00BF2701" w:rsidRDefault="00BF2701" w:rsidP="00BF2701">
      <w:pPr>
        <w:numPr>
          <w:ilvl w:val="0"/>
          <w:numId w:val="10"/>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b/>
          <w:bCs/>
          <w:kern w:val="0"/>
          <w:lang w:eastAsia="en-GB"/>
          <w14:ligatures w14:val="none"/>
        </w:rPr>
        <w:t>Make Overpayments Without Penalties</w:t>
      </w:r>
      <w:r w:rsidRPr="00BF2701">
        <w:rPr>
          <w:rFonts w:ascii="Calibri" w:eastAsia="Times New Roman" w:hAnsi="Calibri" w:cs="Calibri"/>
          <w:kern w:val="0"/>
          <w:lang w:eastAsia="en-GB"/>
          <w14:ligatures w14:val="none"/>
        </w:rPr>
        <w:br/>
        <w:t>When your current deal ends, it is often a good time to make lump-sum payments without facing early repayment charges.</w:t>
      </w:r>
    </w:p>
    <w:p w14:paraId="79CE9A46" w14:textId="5ADEF630" w:rsidR="00BF2701" w:rsidRPr="00BF2701" w:rsidRDefault="00BF2701" w:rsidP="00BF2701">
      <w:pPr>
        <w:rPr>
          <w:rFonts w:ascii="Calibri" w:eastAsia="Times New Roman" w:hAnsi="Calibri" w:cs="Calibri"/>
          <w:kern w:val="0"/>
          <w:lang w:eastAsia="en-GB"/>
          <w14:ligatures w14:val="none"/>
        </w:rPr>
      </w:pPr>
      <w:r w:rsidRPr="00BF2701">
        <w:rPr>
          <w:rFonts w:ascii="Calibri" w:eastAsia="Times New Roman" w:hAnsi="Calibri" w:cs="Calibri"/>
          <w:b/>
          <w:bCs/>
          <w:kern w:val="0"/>
          <w:sz w:val="36"/>
          <w:szCs w:val="36"/>
          <w:lang w:eastAsia="en-GB"/>
          <w14:ligatures w14:val="none"/>
        </w:rPr>
        <w:t>Steps to Take Now</w:t>
      </w:r>
    </w:p>
    <w:p w14:paraId="06015795" w14:textId="77777777" w:rsidR="00BF2701" w:rsidRPr="00BF2701" w:rsidRDefault="00BF2701" w:rsidP="00BF2701">
      <w:pPr>
        <w:numPr>
          <w:ilvl w:val="0"/>
          <w:numId w:val="11"/>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Check the exact date your current deal ends.</w:t>
      </w:r>
    </w:p>
    <w:p w14:paraId="7C89B509" w14:textId="77777777" w:rsidR="00BF2701" w:rsidRPr="00BF2701" w:rsidRDefault="00BF2701" w:rsidP="00BF2701">
      <w:pPr>
        <w:numPr>
          <w:ilvl w:val="0"/>
          <w:numId w:val="11"/>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lastRenderedPageBreak/>
        <w:t>Gather documents such as proof of income, bank statements, and ID to speed up the process.</w:t>
      </w:r>
    </w:p>
    <w:p w14:paraId="49F3062A" w14:textId="77777777" w:rsidR="00BF2701" w:rsidRPr="00BF2701" w:rsidRDefault="00BF2701" w:rsidP="00BF2701">
      <w:pPr>
        <w:numPr>
          <w:ilvl w:val="0"/>
          <w:numId w:val="11"/>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Review your credit file to ensure there are no errors that could delay your application.</w:t>
      </w:r>
    </w:p>
    <w:p w14:paraId="0B4068AE" w14:textId="77777777" w:rsidR="00BF2701" w:rsidRPr="00BF2701" w:rsidRDefault="00BF2701" w:rsidP="00BF2701">
      <w:pPr>
        <w:numPr>
          <w:ilvl w:val="0"/>
          <w:numId w:val="11"/>
        </w:num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Speak to a mortgage broker early to discuss both mortgage rates and protection needs.</w:t>
      </w:r>
    </w:p>
    <w:p w14:paraId="348D6104" w14:textId="7A411241" w:rsidR="00BF2701" w:rsidRPr="00BF2701" w:rsidRDefault="00BF2701" w:rsidP="00BF2701">
      <w:pPr>
        <w:rPr>
          <w:rFonts w:ascii="Calibri" w:eastAsia="Times New Roman" w:hAnsi="Calibri" w:cs="Calibri"/>
          <w:kern w:val="0"/>
          <w:lang w:eastAsia="en-GB"/>
          <w14:ligatures w14:val="none"/>
        </w:rPr>
      </w:pPr>
      <w:r w:rsidRPr="00BF2701">
        <w:rPr>
          <w:rFonts w:ascii="Calibri" w:eastAsia="Times New Roman" w:hAnsi="Calibri" w:cs="Calibri"/>
          <w:b/>
          <w:bCs/>
          <w:kern w:val="0"/>
          <w:sz w:val="36"/>
          <w:szCs w:val="36"/>
          <w:lang w:eastAsia="en-GB"/>
          <w14:ligatures w14:val="none"/>
        </w:rPr>
        <w:t>Why It Pays to Get Advice</w:t>
      </w:r>
    </w:p>
    <w:p w14:paraId="2ECF9D7D"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Going directly to your lender limits you to their products alone. A mortgage broker with access to a comprehensive panel of lenders can help you secure the most competitive deal while also advising on protection to keep your home safe.</w:t>
      </w:r>
    </w:p>
    <w:p w14:paraId="6DD97F60" w14:textId="77777777" w:rsidR="00BF2701" w:rsidRPr="00BF2701" w:rsidRDefault="00BF2701" w:rsidP="00BF2701">
      <w:pPr>
        <w:spacing w:before="100" w:beforeAutospacing="1" w:after="100" w:afterAutospacing="1"/>
        <w:rPr>
          <w:rFonts w:ascii="Calibri" w:eastAsia="Times New Roman" w:hAnsi="Calibri" w:cs="Calibri"/>
          <w:kern w:val="0"/>
          <w:lang w:eastAsia="en-GB"/>
          <w14:ligatures w14:val="none"/>
        </w:rPr>
      </w:pPr>
      <w:r w:rsidRPr="00BF2701">
        <w:rPr>
          <w:rFonts w:ascii="Calibri" w:eastAsia="Times New Roman" w:hAnsi="Calibri" w:cs="Calibri"/>
          <w:kern w:val="0"/>
          <w:lang w:eastAsia="en-GB"/>
          <w14:ligatures w14:val="none"/>
        </w:rPr>
        <w:t>By acting early and seeking professional advice, you can save money, avoid unnecessary stress, and ensure that your family and your home are secure, no matter what the future brings.</w:t>
      </w:r>
    </w:p>
    <w:p w14:paraId="7621A119" w14:textId="77777777" w:rsidR="007C38ED" w:rsidRPr="004C400A" w:rsidRDefault="007C38ED" w:rsidP="007C38ED">
      <w:pPr>
        <w:pStyle w:val="NormalWeb"/>
        <w:spacing w:after="240" w:line="360" w:lineRule="atLeast"/>
        <w:rPr>
          <w:rFonts w:asciiTheme="minorHAnsi" w:hAnsiTheme="minorHAnsi"/>
          <w:b/>
          <w:bCs/>
          <w:i/>
          <w:iCs/>
          <w:color w:val="000000"/>
        </w:rPr>
      </w:pPr>
      <w:r w:rsidRPr="004C400A">
        <w:rPr>
          <w:rFonts w:ascii="Calibri" w:hAnsi="Calibri" w:cs="Calibri"/>
          <w:b/>
          <w:bCs/>
        </w:rPr>
        <w:t>Your home/property may be repossessed if you do not keep up repayments on a mortgage or other debt secured on it.</w:t>
      </w:r>
    </w:p>
    <w:p w14:paraId="032E352C" w14:textId="77777777" w:rsidR="007C38ED" w:rsidRPr="00B06C37" w:rsidRDefault="007C38ED" w:rsidP="007C38ED">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1EBA7A7B" w14:textId="77777777" w:rsidR="007C38ED" w:rsidRDefault="007C38ED" w:rsidP="007C38ED">
      <w:pPr>
        <w:rPr>
          <w:rFonts w:ascii="Calibri" w:hAnsi="Calibri" w:cs="Calibri"/>
          <w:i/>
          <w:iCs/>
        </w:rPr>
      </w:pPr>
      <w:r w:rsidRPr="002B437B">
        <w:rPr>
          <w:rFonts w:ascii="Calibri" w:hAnsi="Calibri" w:cs="Calibri"/>
          <w:i/>
          <w:iCs/>
        </w:rPr>
        <w:t>All the information in this article is correct as of the publish date</w:t>
      </w:r>
      <w:r>
        <w:rPr>
          <w:rFonts w:ascii="Calibri" w:hAnsi="Calibri" w:cs="Calibri"/>
          <w:i/>
          <w:iCs/>
        </w:rPr>
        <w:t xml:space="preserve"> 25</w:t>
      </w:r>
      <w:r w:rsidRPr="00D21C14">
        <w:rPr>
          <w:rFonts w:ascii="Calibri" w:hAnsi="Calibri" w:cs="Calibri"/>
          <w:i/>
          <w:iCs/>
          <w:vertAlign w:val="superscript"/>
        </w:rPr>
        <w:t>th</w:t>
      </w:r>
      <w:r>
        <w:rPr>
          <w:rFonts w:ascii="Calibri" w:hAnsi="Calibri" w:cs="Calibri"/>
          <w:i/>
          <w:iCs/>
        </w:rPr>
        <w:t xml:space="preserve"> September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4C52BB12" w14:textId="77777777" w:rsidR="00E90D59" w:rsidRPr="002B437B" w:rsidRDefault="00E90D59" w:rsidP="007C38ED">
      <w:pPr>
        <w:rPr>
          <w:rFonts w:ascii="Calibri" w:hAnsi="Calibri" w:cs="Calibri"/>
          <w:i/>
          <w:iCs/>
        </w:rPr>
      </w:pPr>
    </w:p>
    <w:p w14:paraId="223C3AE4" w14:textId="77777777" w:rsidR="008C1F51" w:rsidRPr="00E72132" w:rsidRDefault="008C1F51" w:rsidP="008C1F51">
      <w:pPr>
        <w:rPr>
          <w:rFonts w:ascii="Calibri" w:hAnsi="Calibri" w:cs="Calibri"/>
        </w:rPr>
      </w:pPr>
      <w:r w:rsidRPr="00E33733">
        <w:rPr>
          <w:rFonts w:ascii="Calibri" w:hAnsi="Calibri" w:cs="Calibri"/>
          <w:highlight w:val="yellow"/>
        </w:rPr>
        <w:t>(ADD BROKER FEE DISCLOSURE HERE)</w:t>
      </w:r>
    </w:p>
    <w:p w14:paraId="318BB5B4" w14:textId="77777777" w:rsidR="00A66077" w:rsidRPr="00BF2701" w:rsidRDefault="00A66077" w:rsidP="00BF2701">
      <w:pPr>
        <w:rPr>
          <w:rFonts w:ascii="Calibri" w:hAnsi="Calibri" w:cs="Calibri"/>
        </w:rPr>
      </w:pPr>
    </w:p>
    <w:sectPr w:rsidR="00A66077" w:rsidRPr="00BF2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49B"/>
    <w:multiLevelType w:val="multilevel"/>
    <w:tmpl w:val="825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F56"/>
    <w:multiLevelType w:val="multilevel"/>
    <w:tmpl w:val="232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7643"/>
    <w:multiLevelType w:val="multilevel"/>
    <w:tmpl w:val="818C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83B57"/>
    <w:multiLevelType w:val="multilevel"/>
    <w:tmpl w:val="520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F795B"/>
    <w:multiLevelType w:val="multilevel"/>
    <w:tmpl w:val="B990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637C2"/>
    <w:multiLevelType w:val="multilevel"/>
    <w:tmpl w:val="8F4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A5651"/>
    <w:multiLevelType w:val="multilevel"/>
    <w:tmpl w:val="33AE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83ABC"/>
    <w:multiLevelType w:val="multilevel"/>
    <w:tmpl w:val="FAD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7D6"/>
    <w:multiLevelType w:val="multilevel"/>
    <w:tmpl w:val="99A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E3576"/>
    <w:multiLevelType w:val="multilevel"/>
    <w:tmpl w:val="7EF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C5544"/>
    <w:multiLevelType w:val="multilevel"/>
    <w:tmpl w:val="C360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469006">
    <w:abstractNumId w:val="5"/>
  </w:num>
  <w:num w:numId="2" w16cid:durableId="280066978">
    <w:abstractNumId w:val="2"/>
  </w:num>
  <w:num w:numId="3" w16cid:durableId="86973317">
    <w:abstractNumId w:val="8"/>
  </w:num>
  <w:num w:numId="4" w16cid:durableId="108470544">
    <w:abstractNumId w:val="10"/>
  </w:num>
  <w:num w:numId="5" w16cid:durableId="824200955">
    <w:abstractNumId w:val="3"/>
  </w:num>
  <w:num w:numId="6" w16cid:durableId="1335568726">
    <w:abstractNumId w:val="9"/>
  </w:num>
  <w:num w:numId="7" w16cid:durableId="810319843">
    <w:abstractNumId w:val="4"/>
  </w:num>
  <w:num w:numId="8" w16cid:durableId="1689672332">
    <w:abstractNumId w:val="0"/>
  </w:num>
  <w:num w:numId="9" w16cid:durableId="783500000">
    <w:abstractNumId w:val="1"/>
  </w:num>
  <w:num w:numId="10" w16cid:durableId="498663488">
    <w:abstractNumId w:val="6"/>
  </w:num>
  <w:num w:numId="11" w16cid:durableId="1549220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01"/>
    <w:rsid w:val="00024320"/>
    <w:rsid w:val="001A7F05"/>
    <w:rsid w:val="002903CE"/>
    <w:rsid w:val="003513E0"/>
    <w:rsid w:val="003F0FB3"/>
    <w:rsid w:val="004A5F8A"/>
    <w:rsid w:val="00515E35"/>
    <w:rsid w:val="00604545"/>
    <w:rsid w:val="007C38ED"/>
    <w:rsid w:val="008C1F51"/>
    <w:rsid w:val="00987CBD"/>
    <w:rsid w:val="00A66077"/>
    <w:rsid w:val="00B6736B"/>
    <w:rsid w:val="00BF2701"/>
    <w:rsid w:val="00E90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E2F7"/>
  <w15:chartTrackingRefBased/>
  <w15:docId w15:val="{B47BA8F1-94A4-3249-ACFE-8A7A8EDC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7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7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7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7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2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701"/>
    <w:rPr>
      <w:rFonts w:eastAsiaTheme="majorEastAsia" w:cstheme="majorBidi"/>
      <w:color w:val="272727" w:themeColor="text1" w:themeTint="D8"/>
    </w:rPr>
  </w:style>
  <w:style w:type="paragraph" w:styleId="Title">
    <w:name w:val="Title"/>
    <w:basedOn w:val="Normal"/>
    <w:next w:val="Normal"/>
    <w:link w:val="TitleChar"/>
    <w:uiPriority w:val="10"/>
    <w:qFormat/>
    <w:rsid w:val="00BF2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7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7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2701"/>
    <w:rPr>
      <w:i/>
      <w:iCs/>
      <w:color w:val="404040" w:themeColor="text1" w:themeTint="BF"/>
    </w:rPr>
  </w:style>
  <w:style w:type="paragraph" w:styleId="ListParagraph">
    <w:name w:val="List Paragraph"/>
    <w:basedOn w:val="Normal"/>
    <w:uiPriority w:val="34"/>
    <w:qFormat/>
    <w:rsid w:val="00BF2701"/>
    <w:pPr>
      <w:ind w:left="720"/>
      <w:contextualSpacing/>
    </w:pPr>
  </w:style>
  <w:style w:type="character" w:styleId="IntenseEmphasis">
    <w:name w:val="Intense Emphasis"/>
    <w:basedOn w:val="DefaultParagraphFont"/>
    <w:uiPriority w:val="21"/>
    <w:qFormat/>
    <w:rsid w:val="00BF2701"/>
    <w:rPr>
      <w:i/>
      <w:iCs/>
      <w:color w:val="0F4761" w:themeColor="accent1" w:themeShade="BF"/>
    </w:rPr>
  </w:style>
  <w:style w:type="paragraph" w:styleId="IntenseQuote">
    <w:name w:val="Intense Quote"/>
    <w:basedOn w:val="Normal"/>
    <w:next w:val="Normal"/>
    <w:link w:val="IntenseQuoteChar"/>
    <w:uiPriority w:val="30"/>
    <w:qFormat/>
    <w:rsid w:val="00BF2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701"/>
    <w:rPr>
      <w:i/>
      <w:iCs/>
      <w:color w:val="0F4761" w:themeColor="accent1" w:themeShade="BF"/>
    </w:rPr>
  </w:style>
  <w:style w:type="character" w:styleId="IntenseReference">
    <w:name w:val="Intense Reference"/>
    <w:basedOn w:val="DefaultParagraphFont"/>
    <w:uiPriority w:val="32"/>
    <w:qFormat/>
    <w:rsid w:val="00BF2701"/>
    <w:rPr>
      <w:b/>
      <w:bCs/>
      <w:smallCaps/>
      <w:color w:val="0F4761" w:themeColor="accent1" w:themeShade="BF"/>
      <w:spacing w:val="5"/>
    </w:rPr>
  </w:style>
  <w:style w:type="character" w:styleId="Strong">
    <w:name w:val="Strong"/>
    <w:basedOn w:val="DefaultParagraphFont"/>
    <w:uiPriority w:val="22"/>
    <w:qFormat/>
    <w:rsid w:val="00BF2701"/>
    <w:rPr>
      <w:b/>
      <w:bCs/>
    </w:rPr>
  </w:style>
  <w:style w:type="paragraph" w:styleId="NormalWeb">
    <w:name w:val="Normal (Web)"/>
    <w:basedOn w:val="Normal"/>
    <w:uiPriority w:val="99"/>
    <w:unhideWhenUsed/>
    <w:rsid w:val="00BF270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F5CBD-C149-449F-8EFA-E2C39960A20B}">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155F3DC6-4002-489F-8ADC-4083017507B9}">
  <ds:schemaRefs>
    <ds:schemaRef ds:uri="http://schemas.microsoft.com/sharepoint/v3/contenttype/forms"/>
  </ds:schemaRefs>
</ds:datastoreItem>
</file>

<file path=customXml/itemProps3.xml><?xml version="1.0" encoding="utf-8"?>
<ds:datastoreItem xmlns:ds="http://schemas.openxmlformats.org/officeDocument/2006/customXml" ds:itemID="{C76DB7A7-74D8-4B78-B3CF-BCC569697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6</cp:revision>
  <dcterms:created xsi:type="dcterms:W3CDTF">2025-09-22T08:48:00Z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