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0E5B" w14:textId="2C9713D2" w:rsidR="00735BD6" w:rsidRPr="00735BD6" w:rsidRDefault="00735BD6" w:rsidP="00735BD6">
      <w:pPr>
        <w:spacing w:before="100" w:beforeAutospacing="1" w:after="100" w:afterAutospacing="1"/>
        <w:outlineLvl w:val="1"/>
        <w:rPr>
          <w:rFonts w:ascii="Calibri" w:eastAsia="Times New Roman" w:hAnsi="Calibri" w:cs="Calibri"/>
          <w:b/>
          <w:bCs/>
          <w:kern w:val="0"/>
          <w:sz w:val="36"/>
          <w:szCs w:val="36"/>
          <w:lang w:eastAsia="en-GB"/>
          <w14:ligatures w14:val="none"/>
        </w:rPr>
      </w:pPr>
      <w:r w:rsidRPr="00735BD6">
        <w:rPr>
          <w:rFonts w:ascii="Calibri" w:eastAsia="Times New Roman" w:hAnsi="Calibri" w:cs="Calibri"/>
          <w:b/>
          <w:bCs/>
          <w:kern w:val="0"/>
          <w:sz w:val="36"/>
          <w:szCs w:val="36"/>
          <w:lang w:eastAsia="en-GB"/>
          <w14:ligatures w14:val="none"/>
        </w:rPr>
        <w:t>Mortgage deal ending this year? What to do now (and how to give yourself the best chance of a good rate)</w:t>
      </w:r>
    </w:p>
    <w:p w14:paraId="1544656E" w14:textId="2C9C3873" w:rsidR="00735BD6" w:rsidRPr="00735BD6" w:rsidRDefault="00735BD6" w:rsidP="00735BD6">
      <w:p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kern w:val="0"/>
          <w:lang w:eastAsia="en-GB"/>
          <w14:ligatures w14:val="none"/>
        </w:rPr>
        <w:t>If your mortgage deal is due to end this year, it is worth getting ahead of it now. Not because you need to panic, but because leaving it late can limit your choices and increase the chance of ending up on your lender’s Standard Variable Rate (SVR), which can be higher and can change</w:t>
      </w:r>
      <w:r w:rsidR="008D5E9E">
        <w:rPr>
          <w:rFonts w:ascii="Calibri" w:eastAsia="Times New Roman" w:hAnsi="Calibri" w:cs="Calibri"/>
          <w:kern w:val="0"/>
          <w:vertAlign w:val="superscript"/>
          <w:lang w:eastAsia="en-GB"/>
          <w14:ligatures w14:val="none"/>
        </w:rPr>
        <w:t>1</w:t>
      </w:r>
      <w:r w:rsidRPr="00735BD6">
        <w:rPr>
          <w:rFonts w:ascii="Calibri" w:eastAsia="Times New Roman" w:hAnsi="Calibri" w:cs="Calibri"/>
          <w:kern w:val="0"/>
          <w:lang w:eastAsia="en-GB"/>
          <w14:ligatures w14:val="none"/>
        </w:rPr>
        <w:t>.</w:t>
      </w:r>
    </w:p>
    <w:p w14:paraId="7BF3DBA3" w14:textId="77777777" w:rsidR="00735BD6" w:rsidRPr="00735BD6" w:rsidRDefault="00735BD6" w:rsidP="00735BD6">
      <w:p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kern w:val="0"/>
          <w:lang w:eastAsia="en-GB"/>
          <w14:ligatures w14:val="none"/>
        </w:rPr>
        <w:t>A calm, organised approach usually leads to better outcomes than a last-minute scramble, and it starts with understanding two things: timing and credit.</w:t>
      </w:r>
    </w:p>
    <w:p w14:paraId="553E02A3" w14:textId="77777777" w:rsidR="00735BD6" w:rsidRPr="00735BD6" w:rsidRDefault="00735BD6" w:rsidP="00735BD6">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735BD6">
        <w:rPr>
          <w:rFonts w:ascii="Calibri" w:eastAsia="Times New Roman" w:hAnsi="Calibri" w:cs="Calibri"/>
          <w:b/>
          <w:bCs/>
          <w:kern w:val="0"/>
          <w:sz w:val="27"/>
          <w:szCs w:val="27"/>
          <w:lang w:eastAsia="en-GB"/>
          <w14:ligatures w14:val="none"/>
        </w:rPr>
        <w:t>What happens when your deal ends?</w:t>
      </w:r>
    </w:p>
    <w:p w14:paraId="46F7FBCF" w14:textId="7DC3F694" w:rsidR="00735BD6" w:rsidRPr="00735BD6" w:rsidRDefault="00735BD6" w:rsidP="00735BD6">
      <w:p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kern w:val="0"/>
          <w:lang w:eastAsia="en-GB"/>
          <w14:ligatures w14:val="none"/>
        </w:rPr>
        <w:t>When a fixed, tracker or discounted period finishes, many mortgages revert to the lender’s SVR unless you switch to a new deal. At that point, most borrowers will either:</w:t>
      </w:r>
    </w:p>
    <w:p w14:paraId="328410D0" w14:textId="77777777" w:rsidR="00735BD6" w:rsidRPr="00735BD6" w:rsidRDefault="00735BD6" w:rsidP="00735BD6">
      <w:pPr>
        <w:numPr>
          <w:ilvl w:val="0"/>
          <w:numId w:val="6"/>
        </w:num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kern w:val="0"/>
          <w:lang w:eastAsia="en-GB"/>
          <w14:ligatures w14:val="none"/>
        </w:rPr>
        <w:t>Switch to a new product with their existing lender, or</w:t>
      </w:r>
    </w:p>
    <w:p w14:paraId="0F85C286" w14:textId="61D79675" w:rsidR="00735BD6" w:rsidRPr="00735BD6" w:rsidRDefault="00735BD6" w:rsidP="00735BD6">
      <w:pPr>
        <w:numPr>
          <w:ilvl w:val="0"/>
          <w:numId w:val="6"/>
        </w:num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kern w:val="0"/>
          <w:lang w:eastAsia="en-GB"/>
          <w14:ligatures w14:val="none"/>
        </w:rPr>
        <w:t>Move to a new lender, subject to eligibility, affordability checks and the lender’s criteria</w:t>
      </w:r>
      <w:r w:rsidR="00107755">
        <w:rPr>
          <w:rFonts w:ascii="Calibri" w:eastAsia="Times New Roman" w:hAnsi="Calibri" w:cs="Calibri"/>
          <w:kern w:val="0"/>
          <w:vertAlign w:val="superscript"/>
          <w:lang w:eastAsia="en-GB"/>
          <w14:ligatures w14:val="none"/>
        </w:rPr>
        <w:t>1</w:t>
      </w:r>
      <w:r w:rsidRPr="00735BD6">
        <w:rPr>
          <w:rFonts w:ascii="Calibri" w:eastAsia="Times New Roman" w:hAnsi="Calibri" w:cs="Calibri"/>
          <w:kern w:val="0"/>
          <w:lang w:eastAsia="en-GB"/>
          <w14:ligatures w14:val="none"/>
        </w:rPr>
        <w:t>.</w:t>
      </w:r>
    </w:p>
    <w:p w14:paraId="198442AF" w14:textId="77777777" w:rsidR="00735BD6" w:rsidRPr="00735BD6" w:rsidRDefault="00735BD6" w:rsidP="00735BD6">
      <w:p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kern w:val="0"/>
          <w:lang w:eastAsia="en-GB"/>
          <w14:ligatures w14:val="none"/>
        </w:rPr>
        <w:t>The right route depends on your circumstances, your priorities, and the overall cost once fees are taken into account, not just the headline rate.</w:t>
      </w:r>
    </w:p>
    <w:p w14:paraId="01FEE94D" w14:textId="77777777" w:rsidR="00735BD6" w:rsidRPr="00735BD6" w:rsidRDefault="00735BD6" w:rsidP="00735BD6">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735BD6">
        <w:rPr>
          <w:rFonts w:ascii="Calibri" w:eastAsia="Times New Roman" w:hAnsi="Calibri" w:cs="Calibri"/>
          <w:b/>
          <w:bCs/>
          <w:kern w:val="0"/>
          <w:sz w:val="27"/>
          <w:szCs w:val="27"/>
          <w:lang w:eastAsia="en-GB"/>
          <w14:ligatures w14:val="none"/>
        </w:rPr>
        <w:t>Timing: the easiest way to reduce stress</w:t>
      </w:r>
    </w:p>
    <w:p w14:paraId="2B48EB84" w14:textId="0DB7B486" w:rsidR="00735BD6" w:rsidRPr="00735BD6" w:rsidRDefault="00735BD6" w:rsidP="00735BD6">
      <w:p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kern w:val="0"/>
          <w:lang w:eastAsia="en-GB"/>
          <w14:ligatures w14:val="none"/>
        </w:rPr>
        <w:t>If your deal ends this year, the best move is to act early. Starting several months in advance gives you time to compare options properly, avoid unnecessary delays, and resolve any issues that might show up during checks</w:t>
      </w:r>
      <w:r w:rsidR="008D5E9E">
        <w:rPr>
          <w:rFonts w:ascii="Calibri" w:eastAsia="Times New Roman" w:hAnsi="Calibri" w:cs="Calibri"/>
          <w:kern w:val="0"/>
          <w:vertAlign w:val="superscript"/>
          <w:lang w:eastAsia="en-GB"/>
          <w14:ligatures w14:val="none"/>
        </w:rPr>
        <w:t>1</w:t>
      </w:r>
      <w:r w:rsidRPr="00735BD6">
        <w:rPr>
          <w:rFonts w:ascii="Calibri" w:eastAsia="Times New Roman" w:hAnsi="Calibri" w:cs="Calibri"/>
          <w:kern w:val="0"/>
          <w:lang w:eastAsia="en-GB"/>
          <w14:ligatures w14:val="none"/>
        </w:rPr>
        <w:t>.</w:t>
      </w:r>
    </w:p>
    <w:p w14:paraId="277FF7CE" w14:textId="77777777" w:rsidR="00735BD6" w:rsidRPr="00735BD6" w:rsidRDefault="00735BD6" w:rsidP="00735BD6">
      <w:p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kern w:val="0"/>
          <w:lang w:eastAsia="en-GB"/>
          <w14:ligatures w14:val="none"/>
        </w:rPr>
        <w:t>It also reduces the risk of slipping onto SVR while you are still gathering documents or waiting for underwriting.</w:t>
      </w:r>
    </w:p>
    <w:p w14:paraId="735263F0" w14:textId="77777777" w:rsidR="00735BD6" w:rsidRPr="00735BD6" w:rsidRDefault="00735BD6" w:rsidP="00735BD6">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735BD6">
        <w:rPr>
          <w:rFonts w:ascii="Calibri" w:eastAsia="Times New Roman" w:hAnsi="Calibri" w:cs="Calibri"/>
          <w:b/>
          <w:bCs/>
          <w:kern w:val="0"/>
          <w:sz w:val="27"/>
          <w:szCs w:val="27"/>
          <w:lang w:eastAsia="en-GB"/>
          <w14:ligatures w14:val="none"/>
        </w:rPr>
        <w:t>Why your credit profile matters</w:t>
      </w:r>
    </w:p>
    <w:p w14:paraId="3AD0E0AE" w14:textId="5B9543FC" w:rsidR="00735BD6" w:rsidRPr="00735BD6" w:rsidRDefault="00735BD6" w:rsidP="00735BD6">
      <w:p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kern w:val="0"/>
          <w:lang w:eastAsia="en-GB"/>
          <w14:ligatures w14:val="none"/>
        </w:rPr>
        <w:t>Your credit profile plays a key role in the mortgage process. It helps lenders decide not only whether to lend but also which rates and terms they are prepared to offer. It is rarely the only factor, but it can influence the range of products available to you and how smooth the application process feels</w:t>
      </w:r>
      <w:r w:rsidR="008D5E9E">
        <w:rPr>
          <w:rFonts w:ascii="Calibri" w:eastAsia="Times New Roman" w:hAnsi="Calibri" w:cs="Calibri"/>
          <w:kern w:val="0"/>
          <w:vertAlign w:val="superscript"/>
          <w:lang w:eastAsia="en-GB"/>
          <w14:ligatures w14:val="none"/>
        </w:rPr>
        <w:t>1</w:t>
      </w:r>
      <w:r w:rsidRPr="00735BD6">
        <w:rPr>
          <w:rFonts w:ascii="Calibri" w:eastAsia="Times New Roman" w:hAnsi="Calibri" w:cs="Calibri"/>
          <w:kern w:val="0"/>
          <w:lang w:eastAsia="en-GB"/>
          <w14:ligatures w14:val="none"/>
        </w:rPr>
        <w:t>.</w:t>
      </w:r>
    </w:p>
    <w:p w14:paraId="7A483BAA" w14:textId="26B3E8BD" w:rsidR="00735BD6" w:rsidRPr="00735BD6" w:rsidRDefault="00735BD6" w:rsidP="00735BD6">
      <w:p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kern w:val="0"/>
          <w:lang w:eastAsia="en-GB"/>
          <w14:ligatures w14:val="none"/>
        </w:rPr>
        <w:t>One important point that is often missed: there is no single universal credit score. Different lenders interpret the information on your credit file in their own way. That is why the most reliable approach is to focus on the fundamentals that most lenders look for: stability, consistency, and sensible use of credit</w:t>
      </w:r>
      <w:r w:rsidR="00107755">
        <w:rPr>
          <w:rFonts w:ascii="Calibri" w:eastAsia="Times New Roman" w:hAnsi="Calibri" w:cs="Calibri"/>
          <w:kern w:val="0"/>
          <w:vertAlign w:val="superscript"/>
          <w:lang w:eastAsia="en-GB"/>
          <w14:ligatures w14:val="none"/>
        </w:rPr>
        <w:t>1</w:t>
      </w:r>
      <w:r w:rsidRPr="00735BD6">
        <w:rPr>
          <w:rFonts w:ascii="Calibri" w:eastAsia="Times New Roman" w:hAnsi="Calibri" w:cs="Calibri"/>
          <w:kern w:val="0"/>
          <w:lang w:eastAsia="en-GB"/>
          <w14:ligatures w14:val="none"/>
        </w:rPr>
        <w:t>.</w:t>
      </w:r>
    </w:p>
    <w:p w14:paraId="4025DB66" w14:textId="77777777" w:rsidR="00735BD6" w:rsidRPr="00735BD6" w:rsidRDefault="00735BD6" w:rsidP="00735BD6">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735BD6">
        <w:rPr>
          <w:rFonts w:ascii="Calibri" w:eastAsia="Times New Roman" w:hAnsi="Calibri" w:cs="Calibri"/>
          <w:b/>
          <w:bCs/>
          <w:kern w:val="0"/>
          <w:sz w:val="27"/>
          <w:szCs w:val="27"/>
          <w:lang w:eastAsia="en-GB"/>
          <w14:ligatures w14:val="none"/>
        </w:rPr>
        <w:t>The credit tidy-up that can make a real difference</w:t>
      </w:r>
    </w:p>
    <w:p w14:paraId="075EAE73" w14:textId="77777777" w:rsidR="00735BD6" w:rsidRPr="00735BD6" w:rsidRDefault="00735BD6" w:rsidP="00735BD6">
      <w:p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kern w:val="0"/>
          <w:lang w:eastAsia="en-GB"/>
          <w14:ligatures w14:val="none"/>
        </w:rPr>
        <w:lastRenderedPageBreak/>
        <w:t>You do not need gimmicks. Small, consistent actions can help, particularly in the months before applying.</w:t>
      </w:r>
    </w:p>
    <w:p w14:paraId="565735D0" w14:textId="77777777" w:rsidR="00735BD6" w:rsidRPr="00735BD6" w:rsidRDefault="00735BD6" w:rsidP="00735BD6">
      <w:p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b/>
          <w:bCs/>
          <w:kern w:val="0"/>
          <w:lang w:eastAsia="en-GB"/>
          <w14:ligatures w14:val="none"/>
        </w:rPr>
        <w:t>1) Check your credit file early</w:t>
      </w:r>
      <w:r w:rsidRPr="00735BD6">
        <w:rPr>
          <w:rFonts w:ascii="Calibri" w:eastAsia="Times New Roman" w:hAnsi="Calibri" w:cs="Calibri"/>
          <w:kern w:val="0"/>
          <w:lang w:eastAsia="en-GB"/>
          <w14:ligatures w14:val="none"/>
        </w:rPr>
        <w:br/>
        <w:t>One of the simplest and most effective steps is to check your credit report well before you start applying. Errors are more common than many people expect, ranging from outdated addresses to accounts that do not belong to you. Correcting inaccuracies can improve your profile, but updates may take time to filter through, which is why early checks matter.</w:t>
      </w:r>
    </w:p>
    <w:p w14:paraId="6AB843B4" w14:textId="085DF173" w:rsidR="00735BD6" w:rsidRPr="00735BD6" w:rsidRDefault="00735BD6" w:rsidP="00735BD6">
      <w:p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kern w:val="0"/>
          <w:lang w:eastAsia="en-GB"/>
          <w14:ligatures w14:val="none"/>
        </w:rPr>
        <w:t>In the UK, the main credit reference agencies are Experian, Equifax and TransUnion, and the information can vary across them</w:t>
      </w:r>
      <w:r w:rsidR="008D5E9E">
        <w:rPr>
          <w:rFonts w:ascii="Calibri" w:eastAsia="Times New Roman" w:hAnsi="Calibri" w:cs="Calibri"/>
          <w:kern w:val="0"/>
          <w:vertAlign w:val="superscript"/>
          <w:lang w:eastAsia="en-GB"/>
          <w14:ligatures w14:val="none"/>
        </w:rPr>
        <w:t>1</w:t>
      </w:r>
      <w:r w:rsidRPr="00735BD6">
        <w:rPr>
          <w:rFonts w:ascii="Calibri" w:eastAsia="Times New Roman" w:hAnsi="Calibri" w:cs="Calibri"/>
          <w:kern w:val="0"/>
          <w:lang w:eastAsia="en-GB"/>
          <w14:ligatures w14:val="none"/>
        </w:rPr>
        <w:t>.</w:t>
      </w:r>
    </w:p>
    <w:p w14:paraId="3A0A33BF" w14:textId="5EF45328" w:rsidR="00735BD6" w:rsidRPr="00735BD6" w:rsidRDefault="00735BD6" w:rsidP="00735BD6">
      <w:p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b/>
          <w:bCs/>
          <w:kern w:val="0"/>
          <w:lang w:eastAsia="en-GB"/>
          <w14:ligatures w14:val="none"/>
        </w:rPr>
        <w:t>2) Payment history matters most</w:t>
      </w:r>
      <w:r w:rsidRPr="00735BD6">
        <w:rPr>
          <w:rFonts w:ascii="Calibri" w:eastAsia="Times New Roman" w:hAnsi="Calibri" w:cs="Calibri"/>
          <w:kern w:val="0"/>
          <w:lang w:eastAsia="en-GB"/>
          <w14:ligatures w14:val="none"/>
        </w:rPr>
        <w:br/>
        <w:t>Consistently paying bills on time is one of the strongest signals you can send to lenders. Missed or late payments, even on smaller commitments such as mobile contracts, can have a disproportionate impact. If you have any payments that regularly catch you out, setting up direct debits and reminders can reduce the risk of accidental oversights</w:t>
      </w:r>
      <w:r w:rsidR="00107755">
        <w:rPr>
          <w:rFonts w:ascii="Calibri" w:eastAsia="Times New Roman" w:hAnsi="Calibri" w:cs="Calibri"/>
          <w:kern w:val="0"/>
          <w:vertAlign w:val="superscript"/>
          <w:lang w:eastAsia="en-GB"/>
          <w14:ligatures w14:val="none"/>
        </w:rPr>
        <w:t>1</w:t>
      </w:r>
      <w:r w:rsidRPr="00735BD6">
        <w:rPr>
          <w:rFonts w:ascii="Calibri" w:eastAsia="Times New Roman" w:hAnsi="Calibri" w:cs="Calibri"/>
          <w:kern w:val="0"/>
          <w:lang w:eastAsia="en-GB"/>
          <w14:ligatures w14:val="none"/>
        </w:rPr>
        <w:t>.</w:t>
      </w:r>
    </w:p>
    <w:p w14:paraId="346FFAAF" w14:textId="5E26FDB8" w:rsidR="00735BD6" w:rsidRPr="00735BD6" w:rsidRDefault="00735BD6" w:rsidP="00735BD6">
      <w:p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b/>
          <w:bCs/>
          <w:kern w:val="0"/>
          <w:lang w:eastAsia="en-GB"/>
          <w14:ligatures w14:val="none"/>
        </w:rPr>
        <w:t>3) Keep credit card balances sensible</w:t>
      </w:r>
      <w:r w:rsidRPr="00735BD6">
        <w:rPr>
          <w:rFonts w:ascii="Calibri" w:eastAsia="Times New Roman" w:hAnsi="Calibri" w:cs="Calibri"/>
          <w:kern w:val="0"/>
          <w:lang w:eastAsia="en-GB"/>
          <w14:ligatures w14:val="none"/>
        </w:rPr>
        <w:br/>
        <w:t>How much of your available credit you use can matter as much as whether you repay it. High utilisation can signal financial strain, even if you always pay on time. Where possible, reducing balances and avoiding maxed-out limits can support your overall profile</w:t>
      </w:r>
      <w:r w:rsidR="00107755">
        <w:rPr>
          <w:rFonts w:ascii="Calibri" w:eastAsia="Times New Roman" w:hAnsi="Calibri" w:cs="Calibri"/>
          <w:kern w:val="0"/>
          <w:vertAlign w:val="superscript"/>
          <w:lang w:eastAsia="en-GB"/>
          <w14:ligatures w14:val="none"/>
        </w:rPr>
        <w:t>1</w:t>
      </w:r>
      <w:r w:rsidRPr="00735BD6">
        <w:rPr>
          <w:rFonts w:ascii="Calibri" w:eastAsia="Times New Roman" w:hAnsi="Calibri" w:cs="Calibri"/>
          <w:kern w:val="0"/>
          <w:lang w:eastAsia="en-GB"/>
          <w14:ligatures w14:val="none"/>
        </w:rPr>
        <w:t>.</w:t>
      </w:r>
    </w:p>
    <w:p w14:paraId="46F0CC50" w14:textId="18E07408" w:rsidR="00735BD6" w:rsidRPr="00735BD6" w:rsidRDefault="00735BD6" w:rsidP="00735BD6">
      <w:p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b/>
          <w:bCs/>
          <w:kern w:val="0"/>
          <w:lang w:eastAsia="en-GB"/>
          <w14:ligatures w14:val="none"/>
        </w:rPr>
        <w:t>4) Avoid sudden changes before applying</w:t>
      </w:r>
      <w:r w:rsidRPr="00735BD6">
        <w:rPr>
          <w:rFonts w:ascii="Calibri" w:eastAsia="Times New Roman" w:hAnsi="Calibri" w:cs="Calibri"/>
          <w:kern w:val="0"/>
          <w:lang w:eastAsia="en-GB"/>
          <w14:ligatures w14:val="none"/>
        </w:rPr>
        <w:br/>
        <w:t>In the run-up to a mortgage application, stability is important. Taking out new credit, switching bank accounts frequently, or making multiple applications within a short period can raise red flags. If your deal is ending soon, it is often wise to avoid unnecessary new finance and keep your financial footprint steady</w:t>
      </w:r>
      <w:r w:rsidR="00107755">
        <w:rPr>
          <w:rFonts w:ascii="Calibri" w:eastAsia="Times New Roman" w:hAnsi="Calibri" w:cs="Calibri"/>
          <w:kern w:val="0"/>
          <w:vertAlign w:val="superscript"/>
          <w:lang w:eastAsia="en-GB"/>
          <w14:ligatures w14:val="none"/>
        </w:rPr>
        <w:t>1</w:t>
      </w:r>
      <w:r w:rsidRPr="00735BD6">
        <w:rPr>
          <w:rFonts w:ascii="Calibri" w:eastAsia="Times New Roman" w:hAnsi="Calibri" w:cs="Calibri"/>
          <w:kern w:val="0"/>
          <w:lang w:eastAsia="en-GB"/>
          <w14:ligatures w14:val="none"/>
        </w:rPr>
        <w:t>.</w:t>
      </w:r>
    </w:p>
    <w:p w14:paraId="1EDAF082" w14:textId="75D017DE" w:rsidR="00735BD6" w:rsidRPr="00735BD6" w:rsidRDefault="00735BD6" w:rsidP="00735BD6">
      <w:p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b/>
          <w:bCs/>
          <w:kern w:val="0"/>
          <w:lang w:eastAsia="en-GB"/>
          <w14:ligatures w14:val="none"/>
        </w:rPr>
        <w:t>5) Be cautious about closing older accounts</w:t>
      </w:r>
      <w:r w:rsidRPr="00735BD6">
        <w:rPr>
          <w:rFonts w:ascii="Calibri" w:eastAsia="Times New Roman" w:hAnsi="Calibri" w:cs="Calibri"/>
          <w:kern w:val="0"/>
          <w:lang w:eastAsia="en-GB"/>
          <w14:ligatures w14:val="none"/>
        </w:rPr>
        <w:br/>
        <w:t>Closing unused credit accounts can reduce your available credit and change your profile. It is not always a problem, but it is not always helpful either. If you are unsure, it may be better to pause before making changes, especially close to an application</w:t>
      </w:r>
      <w:r w:rsidR="00107755">
        <w:rPr>
          <w:rFonts w:ascii="Calibri" w:eastAsia="Times New Roman" w:hAnsi="Calibri" w:cs="Calibri"/>
          <w:kern w:val="0"/>
          <w:vertAlign w:val="superscript"/>
          <w:lang w:eastAsia="en-GB"/>
          <w14:ligatures w14:val="none"/>
        </w:rPr>
        <w:t>1</w:t>
      </w:r>
      <w:r w:rsidRPr="00735BD6">
        <w:rPr>
          <w:rFonts w:ascii="Calibri" w:eastAsia="Times New Roman" w:hAnsi="Calibri" w:cs="Calibri"/>
          <w:kern w:val="0"/>
          <w:lang w:eastAsia="en-GB"/>
          <w14:ligatures w14:val="none"/>
        </w:rPr>
        <w:t>.</w:t>
      </w:r>
    </w:p>
    <w:p w14:paraId="50495DBA" w14:textId="4B308BFF" w:rsidR="00735BD6" w:rsidRPr="00735BD6" w:rsidRDefault="00735BD6" w:rsidP="00735BD6">
      <w:p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b/>
          <w:bCs/>
          <w:kern w:val="0"/>
          <w:lang w:eastAsia="en-GB"/>
          <w14:ligatures w14:val="none"/>
        </w:rPr>
        <w:t>6) Make sure you are on the electoral register</w:t>
      </w:r>
      <w:r w:rsidRPr="00735BD6">
        <w:rPr>
          <w:rFonts w:ascii="Calibri" w:eastAsia="Times New Roman" w:hAnsi="Calibri" w:cs="Calibri"/>
          <w:kern w:val="0"/>
          <w:lang w:eastAsia="en-GB"/>
          <w14:ligatures w14:val="none"/>
        </w:rPr>
        <w:br/>
        <w:t>This can help with identity checks and can support your credit profile, particularly if you have moved recently</w:t>
      </w:r>
      <w:r w:rsidR="00107755">
        <w:rPr>
          <w:rFonts w:ascii="Calibri" w:eastAsia="Times New Roman" w:hAnsi="Calibri" w:cs="Calibri"/>
          <w:kern w:val="0"/>
          <w:vertAlign w:val="superscript"/>
          <w:lang w:eastAsia="en-GB"/>
          <w14:ligatures w14:val="none"/>
        </w:rPr>
        <w:t>1</w:t>
      </w:r>
      <w:r w:rsidRPr="00735BD6">
        <w:rPr>
          <w:rFonts w:ascii="Calibri" w:eastAsia="Times New Roman" w:hAnsi="Calibri" w:cs="Calibri"/>
          <w:kern w:val="0"/>
          <w:lang w:eastAsia="en-GB"/>
          <w14:ligatures w14:val="none"/>
        </w:rPr>
        <w:t>.</w:t>
      </w:r>
    </w:p>
    <w:p w14:paraId="299D92BF" w14:textId="77777777" w:rsidR="00735BD6" w:rsidRPr="00735BD6" w:rsidRDefault="00735BD6" w:rsidP="00735BD6">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735BD6">
        <w:rPr>
          <w:rFonts w:ascii="Calibri" w:eastAsia="Times New Roman" w:hAnsi="Calibri" w:cs="Calibri"/>
          <w:b/>
          <w:bCs/>
          <w:kern w:val="0"/>
          <w:sz w:val="27"/>
          <w:szCs w:val="27"/>
          <w:lang w:eastAsia="en-GB"/>
          <w14:ligatures w14:val="none"/>
        </w:rPr>
        <w:t>How long do improvements take?</w:t>
      </w:r>
    </w:p>
    <w:p w14:paraId="1D136BA0" w14:textId="77777777" w:rsidR="00735BD6" w:rsidRPr="00735BD6" w:rsidRDefault="00735BD6" w:rsidP="00735BD6">
      <w:p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kern w:val="0"/>
          <w:lang w:eastAsia="en-GB"/>
          <w14:ligatures w14:val="none"/>
        </w:rPr>
        <w:t>Some changes can help quickly, while others take longer.</w:t>
      </w:r>
    </w:p>
    <w:p w14:paraId="0D14A27C" w14:textId="77777777" w:rsidR="00735BD6" w:rsidRPr="00735BD6" w:rsidRDefault="00735BD6" w:rsidP="00735BD6">
      <w:pPr>
        <w:numPr>
          <w:ilvl w:val="0"/>
          <w:numId w:val="7"/>
        </w:num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kern w:val="0"/>
          <w:lang w:eastAsia="en-GB"/>
          <w14:ligatures w14:val="none"/>
        </w:rPr>
        <w:t>Correcting errors or reducing balances may help within weeks.</w:t>
      </w:r>
    </w:p>
    <w:p w14:paraId="6BAA1BDA" w14:textId="77777777" w:rsidR="00735BD6" w:rsidRPr="00735BD6" w:rsidRDefault="00735BD6" w:rsidP="00735BD6">
      <w:pPr>
        <w:numPr>
          <w:ilvl w:val="0"/>
          <w:numId w:val="7"/>
        </w:num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kern w:val="0"/>
          <w:lang w:eastAsia="en-GB"/>
          <w14:ligatures w14:val="none"/>
        </w:rPr>
        <w:t>Rebuilding after missed payments typically takes longer, and consistency matters.</w:t>
      </w:r>
    </w:p>
    <w:p w14:paraId="77FB6BDC" w14:textId="77777777" w:rsidR="00735BD6" w:rsidRPr="00735BD6" w:rsidRDefault="00735BD6" w:rsidP="00735BD6">
      <w:p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kern w:val="0"/>
          <w:lang w:eastAsia="en-GB"/>
          <w14:ligatures w14:val="none"/>
        </w:rPr>
        <w:t>Even modest improvements can make the process smoother and may widen the choice of lenders and products available.</w:t>
      </w:r>
    </w:p>
    <w:p w14:paraId="24A2ADEB" w14:textId="77777777" w:rsidR="00735BD6" w:rsidRPr="00735BD6" w:rsidRDefault="00735BD6" w:rsidP="00735BD6">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735BD6">
        <w:rPr>
          <w:rFonts w:ascii="Calibri" w:eastAsia="Times New Roman" w:hAnsi="Calibri" w:cs="Calibri"/>
          <w:b/>
          <w:bCs/>
          <w:kern w:val="0"/>
          <w:sz w:val="27"/>
          <w:szCs w:val="27"/>
          <w:lang w:eastAsia="en-GB"/>
          <w14:ligatures w14:val="none"/>
        </w:rPr>
        <w:lastRenderedPageBreak/>
        <w:t>Do not forget protection as your deal ends</w:t>
      </w:r>
    </w:p>
    <w:p w14:paraId="0FF6E299" w14:textId="77777777" w:rsidR="00735BD6" w:rsidRPr="00735BD6" w:rsidRDefault="00735BD6" w:rsidP="00735BD6">
      <w:p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kern w:val="0"/>
          <w:lang w:eastAsia="en-GB"/>
          <w14:ligatures w14:val="none"/>
        </w:rPr>
        <w:t>When people review their mortgage, it is also a sensible time to review the safety net around it. If your income stopped due to illness or an accident, or if the worst happened, would the mortgage and household bills still be manageable?</w:t>
      </w:r>
    </w:p>
    <w:p w14:paraId="71C729B5" w14:textId="16EB770A" w:rsidR="00735BD6" w:rsidRPr="00735BD6" w:rsidRDefault="00735BD6" w:rsidP="00735BD6">
      <w:p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kern w:val="0"/>
          <w:lang w:eastAsia="en-GB"/>
          <w14:ligatures w14:val="none"/>
        </w:rPr>
        <w:t>Many people set up life insurance and income protection years ago and then never look at it again. But circumstances change: your mortgage balance reduces, your family situation changes, your income changes, and cover that once felt right can become out of date. A quick review can help you check whether your cover still matches your needs and budget, and whether you are protected in the way you expect.</w:t>
      </w:r>
    </w:p>
    <w:p w14:paraId="0365C5E5" w14:textId="77777777" w:rsidR="00735BD6" w:rsidRPr="00735BD6" w:rsidRDefault="00735BD6" w:rsidP="00735BD6">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735BD6">
        <w:rPr>
          <w:rFonts w:ascii="Calibri" w:eastAsia="Times New Roman" w:hAnsi="Calibri" w:cs="Calibri"/>
          <w:b/>
          <w:bCs/>
          <w:kern w:val="0"/>
          <w:sz w:val="27"/>
          <w:szCs w:val="27"/>
          <w:lang w:eastAsia="en-GB"/>
          <w14:ligatures w14:val="none"/>
        </w:rPr>
        <w:t>Look beyond the headline rate</w:t>
      </w:r>
    </w:p>
    <w:p w14:paraId="7265961D" w14:textId="77777777" w:rsidR="00735BD6" w:rsidRPr="00735BD6" w:rsidRDefault="00735BD6" w:rsidP="00735BD6">
      <w:p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kern w:val="0"/>
          <w:lang w:eastAsia="en-GB"/>
          <w14:ligatures w14:val="none"/>
        </w:rPr>
        <w:t>It is tempting to fixate on the rate, but the overall cost matters more. When comparing deals, keep an eye on:</w:t>
      </w:r>
    </w:p>
    <w:p w14:paraId="3E3CD204" w14:textId="77777777" w:rsidR="00735BD6" w:rsidRPr="00735BD6" w:rsidRDefault="00735BD6" w:rsidP="00735BD6">
      <w:pPr>
        <w:numPr>
          <w:ilvl w:val="0"/>
          <w:numId w:val="8"/>
        </w:num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kern w:val="0"/>
          <w:lang w:eastAsia="en-GB"/>
          <w14:ligatures w14:val="none"/>
        </w:rPr>
        <w:t>Product fees and valuation fees</w:t>
      </w:r>
    </w:p>
    <w:p w14:paraId="3E51CA7B" w14:textId="77777777" w:rsidR="00735BD6" w:rsidRPr="00735BD6" w:rsidRDefault="00735BD6" w:rsidP="00735BD6">
      <w:pPr>
        <w:numPr>
          <w:ilvl w:val="0"/>
          <w:numId w:val="8"/>
        </w:num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kern w:val="0"/>
          <w:lang w:eastAsia="en-GB"/>
          <w14:ligatures w14:val="none"/>
        </w:rPr>
        <w:t>Incentives and cashback offers</w:t>
      </w:r>
    </w:p>
    <w:p w14:paraId="62D1A128" w14:textId="77777777" w:rsidR="00735BD6" w:rsidRPr="00735BD6" w:rsidRDefault="00735BD6" w:rsidP="00735BD6">
      <w:pPr>
        <w:numPr>
          <w:ilvl w:val="0"/>
          <w:numId w:val="8"/>
        </w:num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kern w:val="0"/>
          <w:lang w:eastAsia="en-GB"/>
          <w14:ligatures w14:val="none"/>
        </w:rPr>
        <w:t>Early repayment charges</w:t>
      </w:r>
    </w:p>
    <w:p w14:paraId="1F205885" w14:textId="77777777" w:rsidR="00735BD6" w:rsidRPr="00735BD6" w:rsidRDefault="00735BD6" w:rsidP="00735BD6">
      <w:pPr>
        <w:numPr>
          <w:ilvl w:val="0"/>
          <w:numId w:val="8"/>
        </w:num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kern w:val="0"/>
          <w:lang w:eastAsia="en-GB"/>
          <w14:ligatures w14:val="none"/>
        </w:rPr>
        <w:t>Flexibility, overpayment options and portability</w:t>
      </w:r>
    </w:p>
    <w:p w14:paraId="36F0A9C1" w14:textId="77777777" w:rsidR="00735BD6" w:rsidRPr="00735BD6" w:rsidRDefault="00735BD6" w:rsidP="00735BD6">
      <w:pPr>
        <w:numPr>
          <w:ilvl w:val="0"/>
          <w:numId w:val="8"/>
        </w:num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kern w:val="0"/>
          <w:lang w:eastAsia="en-GB"/>
          <w14:ligatures w14:val="none"/>
        </w:rPr>
        <w:t>Whether the term still suits your plans</w:t>
      </w:r>
    </w:p>
    <w:p w14:paraId="49AD16DF" w14:textId="77777777" w:rsidR="00735BD6" w:rsidRPr="00735BD6" w:rsidRDefault="00735BD6" w:rsidP="00735BD6">
      <w:p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kern w:val="0"/>
          <w:lang w:eastAsia="en-GB"/>
          <w14:ligatures w14:val="none"/>
        </w:rPr>
        <w:t>A slightly higher rate with lower fees can be better value for some borrowers, particularly on smaller balances or shorter fixes. Equally, a low rate can look attractive until fees are added back in.</w:t>
      </w:r>
    </w:p>
    <w:p w14:paraId="105346FA" w14:textId="77777777" w:rsidR="00735BD6" w:rsidRPr="00735BD6" w:rsidRDefault="00735BD6" w:rsidP="00735BD6">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735BD6">
        <w:rPr>
          <w:rFonts w:ascii="Calibri" w:eastAsia="Times New Roman" w:hAnsi="Calibri" w:cs="Calibri"/>
          <w:b/>
          <w:bCs/>
          <w:kern w:val="0"/>
          <w:sz w:val="27"/>
          <w:szCs w:val="27"/>
          <w:lang w:eastAsia="en-GB"/>
          <w14:ligatures w14:val="none"/>
        </w:rPr>
        <w:t>The practical takeaway</w:t>
      </w:r>
    </w:p>
    <w:p w14:paraId="65D68FC1" w14:textId="77777777" w:rsidR="00735BD6" w:rsidRPr="00735BD6" w:rsidRDefault="00735BD6" w:rsidP="00735BD6">
      <w:pPr>
        <w:spacing w:before="100" w:beforeAutospacing="1" w:after="100" w:afterAutospacing="1"/>
        <w:rPr>
          <w:rFonts w:ascii="Calibri" w:eastAsia="Times New Roman" w:hAnsi="Calibri" w:cs="Calibri"/>
          <w:kern w:val="0"/>
          <w:lang w:eastAsia="en-GB"/>
          <w14:ligatures w14:val="none"/>
        </w:rPr>
      </w:pPr>
      <w:r w:rsidRPr="00735BD6">
        <w:rPr>
          <w:rFonts w:ascii="Calibri" w:eastAsia="Times New Roman" w:hAnsi="Calibri" w:cs="Calibri"/>
          <w:kern w:val="0"/>
          <w:lang w:eastAsia="en-GB"/>
          <w14:ligatures w14:val="none"/>
        </w:rPr>
        <w:t>If your mortgage deal ends this year, treat it like a diary date rather than a surprise. Start early, gather the basics, and keep your credit profile steady and well managed in the months leading up to any application.</w:t>
      </w:r>
    </w:p>
    <w:p w14:paraId="5DA3F55C" w14:textId="01D88328" w:rsidR="00A66077" w:rsidRPr="008D5E9E" w:rsidRDefault="008D5E9E">
      <w:pPr>
        <w:rPr>
          <w:rFonts w:ascii="Calibri" w:hAnsi="Calibri" w:cs="Calibri"/>
          <w:b/>
          <w:bCs/>
          <w:sz w:val="32"/>
          <w:szCs w:val="32"/>
        </w:rPr>
      </w:pPr>
      <w:r w:rsidRPr="008D5E9E">
        <w:rPr>
          <w:rFonts w:ascii="Calibri" w:hAnsi="Calibri" w:cs="Calibri"/>
          <w:b/>
          <w:bCs/>
          <w:sz w:val="32"/>
          <w:szCs w:val="32"/>
        </w:rPr>
        <w:t>References:</w:t>
      </w:r>
    </w:p>
    <w:p w14:paraId="23E899F4" w14:textId="3A3421B8" w:rsidR="008D5E9E" w:rsidRPr="00C512D2" w:rsidRDefault="008D5E9E" w:rsidP="008D5E9E">
      <w:pPr>
        <w:pStyle w:val="ListParagraph"/>
        <w:numPr>
          <w:ilvl w:val="0"/>
          <w:numId w:val="9"/>
        </w:numPr>
        <w:rPr>
          <w:rFonts w:ascii="Calibri" w:hAnsi="Calibri" w:cs="Calibri"/>
        </w:rPr>
      </w:pPr>
      <w:r w:rsidRPr="008D5E9E">
        <w:rPr>
          <w:rFonts w:ascii="Calibri" w:hAnsi="Calibri" w:cs="Calibri"/>
        </w:rPr>
        <w:t>MoneySavingExpert.com. (2026). </w:t>
      </w:r>
      <w:r w:rsidRPr="008D5E9E">
        <w:rPr>
          <w:rFonts w:ascii="Calibri" w:hAnsi="Calibri" w:cs="Calibri"/>
          <w:i/>
          <w:iCs/>
        </w:rPr>
        <w:t>Getting ready to remortgage</w:t>
      </w:r>
      <w:r w:rsidRPr="008D5E9E">
        <w:rPr>
          <w:rFonts w:ascii="Calibri" w:hAnsi="Calibri" w:cs="Calibri"/>
        </w:rPr>
        <w:t xml:space="preserve">. [online] Available at: </w:t>
      </w:r>
      <w:hyperlink r:id="rId8" w:history="1">
        <w:r w:rsidR="00107755" w:rsidRPr="00AC2B5B">
          <w:rPr>
            <w:rStyle w:val="Hyperlink"/>
            <w:rFonts w:ascii="Calibri" w:hAnsi="Calibri" w:cs="Calibri"/>
          </w:rPr>
          <w:t>https://www.moneysavingexpert.com/mortgages/getting-ready-remortgage/</w:t>
        </w:r>
      </w:hyperlink>
      <w:r w:rsidRPr="008D5E9E">
        <w:rPr>
          <w:rFonts w:ascii="Calibri" w:hAnsi="Calibri" w:cs="Calibri"/>
        </w:rPr>
        <w:t xml:space="preserve"> </w:t>
      </w:r>
      <w:r w:rsidR="00107755">
        <w:rPr>
          <w:rFonts w:ascii="Calibri" w:hAnsi="Calibri" w:cs="Calibri"/>
        </w:rPr>
        <w:tab/>
      </w:r>
      <w:r w:rsidRPr="008D5E9E">
        <w:rPr>
          <w:rFonts w:ascii="Calibri" w:hAnsi="Calibri" w:cs="Calibri"/>
        </w:rPr>
        <w:t>[Accessed 24 Feb. 2026].</w:t>
      </w:r>
    </w:p>
    <w:p w14:paraId="4FEE7151" w14:textId="77777777" w:rsidR="005F7CAB" w:rsidRPr="00BB74F0" w:rsidRDefault="005F7CAB" w:rsidP="005F7CAB">
      <w:pPr>
        <w:pStyle w:val="NormalWeb"/>
        <w:spacing w:after="240" w:line="360" w:lineRule="atLeast"/>
        <w:rPr>
          <w:rFonts w:asciiTheme="minorHAnsi" w:hAnsiTheme="minorHAnsi"/>
          <w:b/>
          <w:bCs/>
          <w:i/>
          <w:iCs/>
          <w:color w:val="000000"/>
        </w:rPr>
      </w:pPr>
      <w:r w:rsidRPr="00BB74F0">
        <w:rPr>
          <w:rFonts w:ascii="Calibri" w:hAnsi="Calibri" w:cs="Calibri"/>
          <w:b/>
          <w:bCs/>
        </w:rPr>
        <w:t>Your home/property may be repossessed if you do not keep up repayments on a mortgage or other debt secured on it.</w:t>
      </w:r>
    </w:p>
    <w:p w14:paraId="097E1C2D" w14:textId="77777777" w:rsidR="005F7CAB" w:rsidRPr="00BB74F0" w:rsidRDefault="005F7CAB" w:rsidP="005F7CAB">
      <w:pPr>
        <w:spacing w:before="100" w:beforeAutospacing="1" w:after="100" w:afterAutospacing="1"/>
        <w:rPr>
          <w:rFonts w:ascii="Calibri" w:eastAsia="Times New Roman" w:hAnsi="Calibri" w:cs="Calibri"/>
          <w:b/>
          <w:bCs/>
          <w:kern w:val="0"/>
          <w:lang w:eastAsia="en-GB"/>
          <w14:ligatures w14:val="none"/>
        </w:rPr>
      </w:pPr>
      <w:r w:rsidRPr="00BB74F0">
        <w:rPr>
          <w:rFonts w:ascii="Calibri" w:eastAsia="Times New Roman" w:hAnsi="Calibri" w:cs="Calibri"/>
          <w:b/>
          <w:bCs/>
          <w:kern w:val="0"/>
          <w:lang w:eastAsia="en-GB"/>
          <w14:ligatures w14:val="none"/>
        </w:rPr>
        <w:t>There may be a fee for mortgage advice. The precise amount of the fee will depend upon your circumstances but will range from £xx to £xxx and this will be discussed and agreed with you at the earliest opportunity</w:t>
      </w:r>
    </w:p>
    <w:p w14:paraId="460BA577" w14:textId="77777777" w:rsidR="005F7CAB" w:rsidRPr="00BB74F0" w:rsidRDefault="005F7CAB" w:rsidP="005F7CAB">
      <w:pPr>
        <w:rPr>
          <w:rFonts w:ascii="Calibri" w:hAnsi="Calibri" w:cs="Calibri"/>
          <w:b/>
          <w:bCs/>
          <w:i/>
          <w:iCs/>
        </w:rPr>
      </w:pPr>
      <w:r w:rsidRPr="00BB74F0">
        <w:rPr>
          <w:rFonts w:ascii="Calibri" w:hAnsi="Calibri" w:cs="Calibri"/>
          <w:b/>
          <w:bCs/>
          <w:i/>
          <w:iCs/>
        </w:rPr>
        <w:t xml:space="preserve">All the information in this article is correct as of the publish date </w:t>
      </w:r>
      <w:r>
        <w:rPr>
          <w:rFonts w:ascii="Calibri" w:hAnsi="Calibri" w:cs="Calibri"/>
          <w:b/>
          <w:bCs/>
          <w:i/>
          <w:iCs/>
        </w:rPr>
        <w:t>26</w:t>
      </w:r>
      <w:r w:rsidRPr="00BB74F0">
        <w:rPr>
          <w:rFonts w:ascii="Calibri" w:hAnsi="Calibri" w:cs="Calibri"/>
          <w:b/>
          <w:bCs/>
          <w:i/>
          <w:iCs/>
          <w:vertAlign w:val="superscript"/>
        </w:rPr>
        <w:t>th</w:t>
      </w:r>
      <w:r w:rsidRPr="00BB74F0">
        <w:rPr>
          <w:rFonts w:ascii="Calibri" w:hAnsi="Calibri" w:cs="Calibri"/>
          <w:b/>
          <w:bCs/>
          <w:i/>
          <w:iCs/>
        </w:rPr>
        <w:t xml:space="preserve"> </w:t>
      </w:r>
      <w:r>
        <w:rPr>
          <w:rFonts w:ascii="Calibri" w:hAnsi="Calibri" w:cs="Calibri"/>
          <w:b/>
          <w:bCs/>
          <w:i/>
          <w:iCs/>
        </w:rPr>
        <w:t xml:space="preserve">February </w:t>
      </w:r>
      <w:r w:rsidRPr="00BB74F0">
        <w:rPr>
          <w:rFonts w:ascii="Calibri" w:hAnsi="Calibri" w:cs="Calibri"/>
          <w:b/>
          <w:bCs/>
          <w:i/>
          <w:iCs/>
        </w:rPr>
        <w:t>202</w:t>
      </w:r>
      <w:r>
        <w:rPr>
          <w:rFonts w:ascii="Calibri" w:hAnsi="Calibri" w:cs="Calibri"/>
          <w:b/>
          <w:bCs/>
          <w:i/>
          <w:iCs/>
        </w:rPr>
        <w:t>6</w:t>
      </w:r>
      <w:r w:rsidRPr="00BB74F0">
        <w:rPr>
          <w:rFonts w:ascii="Calibri" w:hAnsi="Calibri" w:cs="Calibri"/>
          <w:b/>
          <w:bCs/>
          <w:i/>
          <w:iCs/>
        </w:rPr>
        <w:t xml:space="preserve">. The opinions expressed in this publication are those of the authors. The information provided </w:t>
      </w:r>
      <w:r w:rsidRPr="00BB74F0">
        <w:rPr>
          <w:rFonts w:ascii="Calibri" w:hAnsi="Calibri" w:cs="Calibri"/>
          <w:b/>
          <w:bCs/>
          <w:i/>
          <w:iCs/>
        </w:rPr>
        <w:lastRenderedPageBreak/>
        <w:t>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47D7AC22" w14:textId="77777777" w:rsidR="005F7CAB" w:rsidRPr="00BB74F0" w:rsidRDefault="005F7CAB" w:rsidP="005F7CAB">
      <w:pPr>
        <w:rPr>
          <w:rFonts w:ascii="Calibri" w:hAnsi="Calibri" w:cs="Calibri"/>
          <w:b/>
          <w:bCs/>
        </w:rPr>
      </w:pPr>
    </w:p>
    <w:p w14:paraId="37F36F64" w14:textId="77777777" w:rsidR="005F7CAB" w:rsidRPr="00BB74F0" w:rsidRDefault="005F7CAB" w:rsidP="005F7CAB">
      <w:pPr>
        <w:rPr>
          <w:rFonts w:ascii="Calibri" w:hAnsi="Calibri" w:cs="Calibri"/>
          <w:b/>
          <w:bCs/>
        </w:rPr>
      </w:pPr>
      <w:r w:rsidRPr="00BB74F0">
        <w:rPr>
          <w:rFonts w:ascii="Calibri" w:hAnsi="Calibri" w:cs="Calibri"/>
          <w:b/>
          <w:bCs/>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092534EA" w14:textId="77777777" w:rsidR="008D5E9E" w:rsidRPr="00735BD6" w:rsidRDefault="008D5E9E">
      <w:pPr>
        <w:rPr>
          <w:rFonts w:ascii="Calibri" w:hAnsi="Calibri" w:cs="Calibri"/>
        </w:rPr>
      </w:pPr>
    </w:p>
    <w:sectPr w:rsidR="008D5E9E" w:rsidRPr="00735B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432C"/>
    <w:multiLevelType w:val="multilevel"/>
    <w:tmpl w:val="4036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D5591"/>
    <w:multiLevelType w:val="multilevel"/>
    <w:tmpl w:val="AE0A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E07BEF"/>
    <w:multiLevelType w:val="multilevel"/>
    <w:tmpl w:val="96F4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6F4470"/>
    <w:multiLevelType w:val="multilevel"/>
    <w:tmpl w:val="8228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4F070A"/>
    <w:multiLevelType w:val="multilevel"/>
    <w:tmpl w:val="802C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7E42E1"/>
    <w:multiLevelType w:val="hybridMultilevel"/>
    <w:tmpl w:val="B72A7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B53E58"/>
    <w:multiLevelType w:val="multilevel"/>
    <w:tmpl w:val="CBCE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5924AC"/>
    <w:multiLevelType w:val="multilevel"/>
    <w:tmpl w:val="09EA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923D0A"/>
    <w:multiLevelType w:val="multilevel"/>
    <w:tmpl w:val="D512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4100192">
    <w:abstractNumId w:val="3"/>
  </w:num>
  <w:num w:numId="2" w16cid:durableId="83572841">
    <w:abstractNumId w:val="6"/>
  </w:num>
  <w:num w:numId="3" w16cid:durableId="1253012110">
    <w:abstractNumId w:val="2"/>
  </w:num>
  <w:num w:numId="4" w16cid:durableId="1492672982">
    <w:abstractNumId w:val="7"/>
  </w:num>
  <w:num w:numId="5" w16cid:durableId="1271551850">
    <w:abstractNumId w:val="1"/>
  </w:num>
  <w:num w:numId="6" w16cid:durableId="740064224">
    <w:abstractNumId w:val="4"/>
  </w:num>
  <w:num w:numId="7" w16cid:durableId="2039115365">
    <w:abstractNumId w:val="0"/>
  </w:num>
  <w:num w:numId="8" w16cid:durableId="1654992021">
    <w:abstractNumId w:val="8"/>
  </w:num>
  <w:num w:numId="9" w16cid:durableId="1072629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BD6"/>
    <w:rsid w:val="00024320"/>
    <w:rsid w:val="000F2F12"/>
    <w:rsid w:val="00107755"/>
    <w:rsid w:val="003F0FB3"/>
    <w:rsid w:val="004421B7"/>
    <w:rsid w:val="004A5F8A"/>
    <w:rsid w:val="005A1357"/>
    <w:rsid w:val="005F7CAB"/>
    <w:rsid w:val="00733BDA"/>
    <w:rsid w:val="00735BD6"/>
    <w:rsid w:val="00844589"/>
    <w:rsid w:val="008D5E9E"/>
    <w:rsid w:val="00987CBD"/>
    <w:rsid w:val="00A66077"/>
    <w:rsid w:val="00C512D2"/>
    <w:rsid w:val="00F12925"/>
    <w:rsid w:val="00F37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ED234"/>
  <w15:chartTrackingRefBased/>
  <w15:docId w15:val="{D26462CF-554F-D443-AB6D-6F532AF55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5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35B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B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B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B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B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B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B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B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5B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35B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B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B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BD6"/>
    <w:rPr>
      <w:rFonts w:eastAsiaTheme="majorEastAsia" w:cstheme="majorBidi"/>
      <w:color w:val="272727" w:themeColor="text1" w:themeTint="D8"/>
    </w:rPr>
  </w:style>
  <w:style w:type="paragraph" w:styleId="Title">
    <w:name w:val="Title"/>
    <w:basedOn w:val="Normal"/>
    <w:next w:val="Normal"/>
    <w:link w:val="TitleChar"/>
    <w:uiPriority w:val="10"/>
    <w:qFormat/>
    <w:rsid w:val="00735B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B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B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5BD6"/>
    <w:rPr>
      <w:i/>
      <w:iCs/>
      <w:color w:val="404040" w:themeColor="text1" w:themeTint="BF"/>
    </w:rPr>
  </w:style>
  <w:style w:type="paragraph" w:styleId="ListParagraph">
    <w:name w:val="List Paragraph"/>
    <w:basedOn w:val="Normal"/>
    <w:uiPriority w:val="34"/>
    <w:qFormat/>
    <w:rsid w:val="00735BD6"/>
    <w:pPr>
      <w:ind w:left="720"/>
      <w:contextualSpacing/>
    </w:pPr>
  </w:style>
  <w:style w:type="character" w:styleId="IntenseEmphasis">
    <w:name w:val="Intense Emphasis"/>
    <w:basedOn w:val="DefaultParagraphFont"/>
    <w:uiPriority w:val="21"/>
    <w:qFormat/>
    <w:rsid w:val="00735BD6"/>
    <w:rPr>
      <w:i/>
      <w:iCs/>
      <w:color w:val="0F4761" w:themeColor="accent1" w:themeShade="BF"/>
    </w:rPr>
  </w:style>
  <w:style w:type="paragraph" w:styleId="IntenseQuote">
    <w:name w:val="Intense Quote"/>
    <w:basedOn w:val="Normal"/>
    <w:next w:val="Normal"/>
    <w:link w:val="IntenseQuoteChar"/>
    <w:uiPriority w:val="30"/>
    <w:qFormat/>
    <w:rsid w:val="00735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BD6"/>
    <w:rPr>
      <w:i/>
      <w:iCs/>
      <w:color w:val="0F4761" w:themeColor="accent1" w:themeShade="BF"/>
    </w:rPr>
  </w:style>
  <w:style w:type="character" w:styleId="IntenseReference">
    <w:name w:val="Intense Reference"/>
    <w:basedOn w:val="DefaultParagraphFont"/>
    <w:uiPriority w:val="32"/>
    <w:qFormat/>
    <w:rsid w:val="00735BD6"/>
    <w:rPr>
      <w:b/>
      <w:bCs/>
      <w:smallCaps/>
      <w:color w:val="0F4761" w:themeColor="accent1" w:themeShade="BF"/>
      <w:spacing w:val="5"/>
    </w:rPr>
  </w:style>
  <w:style w:type="paragraph" w:styleId="NormalWeb">
    <w:name w:val="Normal (Web)"/>
    <w:basedOn w:val="Normal"/>
    <w:uiPriority w:val="99"/>
    <w:semiHidden/>
    <w:unhideWhenUsed/>
    <w:rsid w:val="00735BD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35BD6"/>
    <w:rPr>
      <w:b/>
      <w:bCs/>
    </w:rPr>
  </w:style>
  <w:style w:type="character" w:styleId="Hyperlink">
    <w:name w:val="Hyperlink"/>
    <w:basedOn w:val="DefaultParagraphFont"/>
    <w:uiPriority w:val="99"/>
    <w:unhideWhenUsed/>
    <w:rsid w:val="00107755"/>
    <w:rPr>
      <w:color w:val="467886" w:themeColor="hyperlink"/>
      <w:u w:val="single"/>
    </w:rPr>
  </w:style>
  <w:style w:type="character" w:styleId="UnresolvedMention">
    <w:name w:val="Unresolved Mention"/>
    <w:basedOn w:val="DefaultParagraphFont"/>
    <w:uiPriority w:val="99"/>
    <w:semiHidden/>
    <w:unhideWhenUsed/>
    <w:rsid w:val="00107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eysavingexpert.com/mortgages/getting-ready-remortgag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c0413d9-46e9-494e-90bc-d64e3439a0fe" xsi:nil="true"/>
    <_ip_UnifiedCompliancePolicyProperties xmlns="http://schemas.microsoft.com/sharepoint/v3" xsi:nil="true"/>
    <lcf76f155ced4ddcb4097134ff3c332f xmlns="c9da0649-28d2-4a22-ab4e-51ff4fa118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8" ma:contentTypeDescription="Create a new document." ma:contentTypeScope="" ma:versionID="f1b4b7ae59abfb85dd7e36e3ce74bf85">
  <xsd:schema xmlns:xsd="http://www.w3.org/2001/XMLSchema" xmlns:xs="http://www.w3.org/2001/XMLSchema" xmlns:p="http://schemas.microsoft.com/office/2006/metadata/properties" xmlns:ns1="http://schemas.microsoft.com/sharepoint/v3" xmlns:ns2="c9da0649-28d2-4a22-ab4e-51ff4fa1185a" xmlns:ns3="1c0413d9-46e9-494e-90bc-d64e3439a0fe" targetNamespace="http://schemas.microsoft.com/office/2006/metadata/properties" ma:root="true" ma:fieldsID="5010cfc8229dad2f5e97004206c9543e" ns1:_="" ns2:_="" ns3:_="">
    <xsd:import namespace="http://schemas.microsoft.com/sharepoint/v3"/>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B6CDF-2293-4298-8010-5709DB2773CF}">
  <ds:schemaRefs>
    <ds:schemaRef ds:uri="http://schemas.microsoft.com/sharepoint/v3/contenttype/forms"/>
  </ds:schemaRefs>
</ds:datastoreItem>
</file>

<file path=customXml/itemProps2.xml><?xml version="1.0" encoding="utf-8"?>
<ds:datastoreItem xmlns:ds="http://schemas.openxmlformats.org/officeDocument/2006/customXml" ds:itemID="{9CF626E4-4487-4869-A0AD-0B45D1AAB5FA}">
  <ds:schemaRefs>
    <ds:schemaRef ds:uri="http://schemas.microsoft.com/office/2006/metadata/properties"/>
    <ds:schemaRef ds:uri="http://schemas.microsoft.com/office/infopath/2007/PartnerControls"/>
    <ds:schemaRef ds:uri="http://schemas.microsoft.com/sharepoint/v3"/>
    <ds:schemaRef ds:uri="1c0413d9-46e9-494e-90bc-d64e3439a0fe"/>
    <ds:schemaRef ds:uri="c9da0649-28d2-4a22-ab4e-51ff4fa1185a"/>
  </ds:schemaRefs>
</ds:datastoreItem>
</file>

<file path=customXml/itemProps3.xml><?xml version="1.0" encoding="utf-8"?>
<ds:datastoreItem xmlns:ds="http://schemas.openxmlformats.org/officeDocument/2006/customXml" ds:itemID="{778F9E87-F5D9-468C-89A2-172697382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da0649-28d2-4a22-ab4e-51ff4fa1185a"/>
    <ds:schemaRef ds:uri="1c0413d9-46e9-494e-90bc-d64e3439a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6</cp:revision>
  <dcterms:created xsi:type="dcterms:W3CDTF">2026-02-24T11:30:00Z</dcterms:created>
  <dcterms:modified xsi:type="dcterms:W3CDTF">2026-02-25T11:16:00Z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